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29D7" w14:textId="49D0370A" w:rsidR="00314523" w:rsidRPr="00314523" w:rsidRDefault="00314523" w:rsidP="00314523">
      <w:pPr>
        <w:jc w:val="center"/>
        <w:rPr>
          <w:sz w:val="40"/>
          <w:szCs w:val="40"/>
        </w:rPr>
      </w:pPr>
      <w:r w:rsidRPr="00314523">
        <w:rPr>
          <w:sz w:val="40"/>
          <w:szCs w:val="40"/>
        </w:rPr>
        <w:t>pDem9.1-10 Text</w:t>
      </w:r>
    </w:p>
    <w:tbl>
      <w:tblPr>
        <w:tblStyle w:val="Tabellenraster"/>
        <w:tblW w:w="15876" w:type="dxa"/>
        <w:tblInd w:w="-572" w:type="dxa"/>
        <w:tblLook w:val="04A0" w:firstRow="1" w:lastRow="0" w:firstColumn="1" w:lastColumn="0" w:noHBand="0" w:noVBand="1"/>
      </w:tblPr>
      <w:tblGrid>
        <w:gridCol w:w="7453"/>
        <w:gridCol w:w="8423"/>
      </w:tblGrid>
      <w:tr w:rsidR="00F441EF" w:rsidRPr="00314523" w14:paraId="0A428A87" w14:textId="67930E5B" w:rsidTr="00F441EF">
        <w:tc>
          <w:tcPr>
            <w:tcW w:w="7453" w:type="dxa"/>
          </w:tcPr>
          <w:p w14:paraId="350B36D0" w14:textId="54085910" w:rsidR="00F441EF" w:rsidRPr="00314523" w:rsidRDefault="00F441EF" w:rsidP="00BA47C7">
            <w:r w:rsidRPr="00E252AE">
              <w:rPr>
                <w:lang w:val="el-GR"/>
              </w:rPr>
              <w:t>πολλῶν</w:t>
            </w:r>
            <w:r w:rsidRPr="00E252AE">
              <w:t xml:space="preserve">, </w:t>
            </w:r>
            <w:r w:rsidRPr="00E252AE">
              <w:rPr>
                <w:lang w:val="el-GR"/>
              </w:rPr>
              <w:t>ὦ</w:t>
            </w:r>
            <w:r w:rsidRPr="00E252AE">
              <w:t xml:space="preserve"> </w:t>
            </w:r>
            <w:r w:rsidRPr="00E252AE">
              <w:rPr>
                <w:lang w:val="el-GR"/>
              </w:rPr>
              <w:t>ἄνδρες</w:t>
            </w:r>
            <w:r w:rsidRPr="00E252AE">
              <w:t xml:space="preserve"> </w:t>
            </w:r>
            <w:r w:rsidRPr="00E252AE">
              <w:rPr>
                <w:lang w:val="el-GR"/>
              </w:rPr>
              <w:t>Ἀθηναῖοι</w:t>
            </w:r>
            <w:r w:rsidRPr="00E252AE">
              <w:t xml:space="preserve">, </w:t>
            </w:r>
            <w:r w:rsidRPr="00E252AE">
              <w:rPr>
                <w:lang w:val="el-GR"/>
              </w:rPr>
              <w:t>λόγων</w:t>
            </w:r>
            <w:r w:rsidRPr="00E252AE">
              <w:t xml:space="preserve"> </w:t>
            </w:r>
            <w:r w:rsidRPr="00E252AE">
              <w:rPr>
                <w:lang w:val="el-GR"/>
              </w:rPr>
              <w:t>γιγνομένων</w:t>
            </w:r>
            <w:r w:rsidRPr="00E252AE">
              <w:t xml:space="preserve"> </w:t>
            </w:r>
            <w:r w:rsidRPr="00E252AE">
              <w:rPr>
                <w:lang w:val="el-GR"/>
              </w:rPr>
              <w:t>ὀλίγου</w:t>
            </w:r>
            <w:r w:rsidRPr="00E252AE">
              <w:t xml:space="preserve"> </w:t>
            </w:r>
            <w:r w:rsidRPr="00E252AE">
              <w:rPr>
                <w:lang w:val="el-GR"/>
              </w:rPr>
              <w:t>δεῖν</w:t>
            </w:r>
            <w:r w:rsidRPr="00E252AE">
              <w:t xml:space="preserve"> </w:t>
            </w:r>
            <w:r w:rsidRPr="00E252AE">
              <w:rPr>
                <w:lang w:val="el-GR"/>
              </w:rPr>
              <w:t>καθ᾽</w:t>
            </w:r>
            <w:r w:rsidRPr="00E252AE">
              <w:t xml:space="preserve"> </w:t>
            </w:r>
            <w:r w:rsidRPr="00E252AE">
              <w:rPr>
                <w:lang w:val="el-GR"/>
              </w:rPr>
              <w:t>ἑκάστην</w:t>
            </w:r>
            <w:r w:rsidRPr="00E252AE">
              <w:t xml:space="preserve"> </w:t>
            </w:r>
            <w:r w:rsidRPr="00E252AE">
              <w:rPr>
                <w:lang w:val="el-GR"/>
              </w:rPr>
              <w:t>ἐκκλησίαν</w:t>
            </w:r>
            <w:r w:rsidR="00314523">
              <w:t xml:space="preserve"> </w:t>
            </w:r>
            <w:r w:rsidRPr="00E252AE">
              <w:rPr>
                <w:lang w:val="el-GR"/>
              </w:rPr>
              <w:t>περὶ</w:t>
            </w:r>
            <w:r w:rsidRPr="00E252AE">
              <w:t xml:space="preserve"> </w:t>
            </w:r>
            <w:r w:rsidRPr="00E252AE">
              <w:rPr>
                <w:lang w:val="el-GR"/>
              </w:rPr>
              <w:t>ὧν</w:t>
            </w:r>
            <w:r w:rsidRPr="00E252AE">
              <w:t xml:space="preserve"> </w:t>
            </w:r>
            <w:r w:rsidRPr="00E252AE">
              <w:rPr>
                <w:lang w:val="el-GR"/>
              </w:rPr>
              <w:t>Φίλιππος</w:t>
            </w:r>
            <w:r w:rsidRPr="00E252AE">
              <w:t xml:space="preserve">, </w:t>
            </w:r>
            <w:r w:rsidRPr="00E252AE">
              <w:rPr>
                <w:lang w:val="el-GR"/>
              </w:rPr>
              <w:t>ἀφ᾽</w:t>
            </w:r>
            <w:r w:rsidRPr="00E252AE">
              <w:t xml:space="preserve"> </w:t>
            </w:r>
            <w:r w:rsidRPr="00E252AE">
              <w:rPr>
                <w:lang w:val="el-GR"/>
              </w:rPr>
              <w:t>οὗ</w:t>
            </w:r>
            <w:r w:rsidRPr="00E252AE">
              <w:t xml:space="preserve"> </w:t>
            </w:r>
            <w:r w:rsidRPr="00E252AE">
              <w:rPr>
                <w:lang w:val="el-GR"/>
              </w:rPr>
              <w:t>τὴν</w:t>
            </w:r>
            <w:r w:rsidRPr="00E252AE">
              <w:t xml:space="preserve"> </w:t>
            </w:r>
            <w:r w:rsidRPr="00E252AE">
              <w:rPr>
                <w:lang w:val="el-GR"/>
              </w:rPr>
              <w:t>εἰρήνην</w:t>
            </w:r>
            <w:r w:rsidRPr="00E252AE">
              <w:t xml:space="preserve"> </w:t>
            </w:r>
            <w:r w:rsidRPr="00E252AE">
              <w:rPr>
                <w:lang w:val="el-GR"/>
              </w:rPr>
              <w:t>ἐποιήσατο</w:t>
            </w:r>
            <w:r w:rsidRPr="00E252AE">
              <w:t>,</w:t>
            </w:r>
            <w:r w:rsidR="00314523">
              <w:t xml:space="preserve"> </w:t>
            </w:r>
            <w:r w:rsidRPr="00E252AE">
              <w:rPr>
                <w:lang w:val="el-GR"/>
              </w:rPr>
              <w:t>οὐ</w:t>
            </w:r>
            <w:r w:rsidRPr="00E252AE">
              <w:t xml:space="preserve"> </w:t>
            </w:r>
            <w:r w:rsidRPr="00E252AE">
              <w:rPr>
                <w:lang w:val="el-GR"/>
              </w:rPr>
              <w:t>μόνον</w:t>
            </w:r>
            <w:r w:rsidRPr="00E252AE">
              <w:t xml:space="preserve"> </w:t>
            </w:r>
            <w:r w:rsidRPr="00E252AE">
              <w:rPr>
                <w:lang w:val="el-GR"/>
              </w:rPr>
              <w:t>ὑμᾶς</w:t>
            </w:r>
            <w:r w:rsidRPr="00E252AE">
              <w:t xml:space="preserve">, </w:t>
            </w:r>
            <w:r w:rsidRPr="00E252AE">
              <w:rPr>
                <w:lang w:val="el-GR"/>
              </w:rPr>
              <w:t>ἀλλὰ</w:t>
            </w:r>
            <w:r w:rsidRPr="00E252AE">
              <w:t xml:space="preserve"> </w:t>
            </w:r>
            <w:r w:rsidRPr="00E252AE">
              <w:rPr>
                <w:lang w:val="el-GR"/>
              </w:rPr>
              <w:t>καὶ</w:t>
            </w:r>
            <w:r w:rsidRPr="00E252AE">
              <w:t xml:space="preserve"> </w:t>
            </w:r>
            <w:r w:rsidRPr="00E252AE">
              <w:rPr>
                <w:lang w:val="el-GR"/>
              </w:rPr>
              <w:t>τοὺς</w:t>
            </w:r>
            <w:r w:rsidRPr="00E252AE">
              <w:t xml:space="preserve"> </w:t>
            </w:r>
            <w:r w:rsidRPr="00E252AE">
              <w:rPr>
                <w:lang w:val="el-GR"/>
              </w:rPr>
              <w:t>ἄλλους</w:t>
            </w:r>
            <w:r w:rsidRPr="00E252AE">
              <w:t xml:space="preserve"> </w:t>
            </w:r>
            <w:r w:rsidRPr="00E252AE">
              <w:rPr>
                <w:lang w:val="el-GR"/>
              </w:rPr>
              <w:t>ἀδικεῖ</w:t>
            </w:r>
            <w:r w:rsidRPr="00E252AE">
              <w:t xml:space="preserve">, </w:t>
            </w:r>
            <w:r w:rsidRPr="00E252AE">
              <w:rPr>
                <w:lang w:val="el-GR"/>
              </w:rPr>
              <w:t>καὶ</w:t>
            </w:r>
            <w:r w:rsidRPr="00E252AE">
              <w:t xml:space="preserve"> </w:t>
            </w:r>
            <w:r w:rsidRPr="00E252AE">
              <w:rPr>
                <w:lang w:val="el-GR"/>
              </w:rPr>
              <w:t>πάντων</w:t>
            </w:r>
            <w:r w:rsidRPr="00E252AE">
              <w:t xml:space="preserve"> </w:t>
            </w:r>
            <w:r w:rsidRPr="00E252AE">
              <w:rPr>
                <w:lang w:val="el-GR"/>
              </w:rPr>
              <w:t>οἶδ᾽</w:t>
            </w:r>
            <w:r w:rsidRPr="00E252AE">
              <w:t xml:space="preserve"> </w:t>
            </w:r>
            <w:r w:rsidRPr="00E252AE">
              <w:rPr>
                <w:lang w:val="el-GR"/>
              </w:rPr>
              <w:t>ὅτι</w:t>
            </w:r>
            <w:r>
              <w:rPr>
                <w:rStyle w:val="Funotenzeichen"/>
                <w:lang w:val="el-GR"/>
              </w:rPr>
              <w:footnoteReference w:id="1"/>
            </w:r>
            <w:r w:rsidRPr="00E252AE">
              <w:t xml:space="preserve"> </w:t>
            </w:r>
            <w:r w:rsidRPr="00E252AE">
              <w:rPr>
                <w:lang w:val="el-GR"/>
              </w:rPr>
              <w:t>φησάντων</w:t>
            </w:r>
            <w:r w:rsidRPr="00E252AE">
              <w:t xml:space="preserve"> </w:t>
            </w:r>
            <w:r w:rsidRPr="00E252AE">
              <w:rPr>
                <w:lang w:val="el-GR"/>
              </w:rPr>
              <w:t>γ᾽</w:t>
            </w:r>
            <w:r w:rsidRPr="00E252AE">
              <w:t xml:space="preserve"> </w:t>
            </w:r>
            <w:r w:rsidRPr="00E252AE">
              <w:rPr>
                <w:lang w:val="el-GR"/>
              </w:rPr>
              <w:t>ἄν</w:t>
            </w:r>
            <w:r>
              <w:rPr>
                <w:rStyle w:val="Funotenzeichen"/>
                <w:lang w:val="el-GR"/>
              </w:rPr>
              <w:footnoteReference w:id="2"/>
            </w:r>
            <w:r w:rsidRPr="00E252AE">
              <w:t>,</w:t>
            </w:r>
            <w:r w:rsidR="00314523">
              <w:t xml:space="preserve"> </w:t>
            </w:r>
            <w:r w:rsidRPr="00E252AE">
              <w:rPr>
                <w:lang w:val="el-GR"/>
              </w:rPr>
              <w:t>εἰ</w:t>
            </w:r>
            <w:r w:rsidRPr="00E252AE">
              <w:t xml:space="preserve"> </w:t>
            </w:r>
            <w:r w:rsidRPr="00E252AE">
              <w:rPr>
                <w:lang w:val="el-GR"/>
              </w:rPr>
              <w:t>καὶ</w:t>
            </w:r>
            <w:r>
              <w:rPr>
                <w:rStyle w:val="Funotenzeichen"/>
                <w:lang w:val="el-GR"/>
              </w:rPr>
              <w:footnoteReference w:id="3"/>
            </w:r>
            <w:r w:rsidRPr="00E252AE">
              <w:t xml:space="preserve"> </w:t>
            </w:r>
            <w:r w:rsidRPr="00E252AE">
              <w:rPr>
                <w:lang w:val="el-GR"/>
              </w:rPr>
              <w:t>μὴ</w:t>
            </w:r>
            <w:r w:rsidRPr="00E252AE">
              <w:t xml:space="preserve"> </w:t>
            </w:r>
            <w:r w:rsidRPr="00E252AE">
              <w:rPr>
                <w:lang w:val="el-GR"/>
              </w:rPr>
              <w:t>ποιοῦσι</w:t>
            </w:r>
            <w:r w:rsidRPr="00E252AE">
              <w:t xml:space="preserve"> </w:t>
            </w:r>
            <w:r w:rsidRPr="00E252AE">
              <w:rPr>
                <w:lang w:val="el-GR"/>
              </w:rPr>
              <w:t>τοῦτο</w:t>
            </w:r>
            <w:r w:rsidRPr="00E252AE">
              <w:t xml:space="preserve">, </w:t>
            </w:r>
            <w:r w:rsidRPr="00E252AE">
              <w:rPr>
                <w:lang w:val="el-GR"/>
              </w:rPr>
              <w:t>καὶ</w:t>
            </w:r>
            <w:r w:rsidRPr="00E252AE">
              <w:t xml:space="preserve"> </w:t>
            </w:r>
            <w:r w:rsidRPr="00E252AE">
              <w:rPr>
                <w:lang w:val="el-GR"/>
              </w:rPr>
              <w:t>λέγειν</w:t>
            </w:r>
            <w:r w:rsidRPr="00E252AE">
              <w:t xml:space="preserve"> </w:t>
            </w:r>
            <w:r w:rsidRPr="00E252AE">
              <w:rPr>
                <w:lang w:val="el-GR"/>
              </w:rPr>
              <w:t>δεῖν</w:t>
            </w:r>
            <w:r w:rsidRPr="00E252AE">
              <w:t xml:space="preserve"> </w:t>
            </w:r>
            <w:r w:rsidRPr="00E252AE">
              <w:rPr>
                <w:lang w:val="el-GR"/>
              </w:rPr>
              <w:t>καὶ</w:t>
            </w:r>
            <w:r w:rsidRPr="00E252AE">
              <w:t xml:space="preserve"> </w:t>
            </w:r>
            <w:r w:rsidRPr="00E252AE">
              <w:rPr>
                <w:lang w:val="el-GR"/>
              </w:rPr>
              <w:t>πράττειν</w:t>
            </w:r>
            <w:r w:rsidR="00314523">
              <w:t xml:space="preserve"> </w:t>
            </w:r>
            <w:r w:rsidRPr="00E252AE">
              <w:rPr>
                <w:lang w:val="el-GR"/>
              </w:rPr>
              <w:t>ὅπως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ἐκεῖνος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παύσεται</w:t>
            </w:r>
            <w:r w:rsidRPr="00314523">
              <w:t xml:space="preserve"> </w:t>
            </w:r>
            <w:r w:rsidRPr="00E252AE">
              <w:rPr>
                <w:lang w:val="el-GR"/>
              </w:rPr>
              <w:t>τῆς</w:t>
            </w:r>
            <w:r w:rsidRPr="00314523">
              <w:t xml:space="preserve"> </w:t>
            </w:r>
            <w:r w:rsidRPr="00E252AE">
              <w:rPr>
                <w:lang w:val="el-GR"/>
              </w:rPr>
              <w:t>ὕβρεως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δίκην</w:t>
            </w:r>
            <w:r w:rsidRPr="00314523">
              <w:t xml:space="preserve"> </w:t>
            </w:r>
            <w:r w:rsidRPr="00E252AE">
              <w:rPr>
                <w:lang w:val="el-GR"/>
              </w:rPr>
              <w:t>δώσει</w:t>
            </w:r>
            <w:r w:rsidRPr="00314523">
              <w:t>,</w:t>
            </w:r>
            <w:r w:rsidR="00314523">
              <w:t xml:space="preserve"> </w:t>
            </w:r>
            <w:r w:rsidRPr="00E252AE">
              <w:rPr>
                <w:lang w:val="el-GR"/>
              </w:rPr>
              <w:t>εἰς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τοῦθ᾽</w:t>
            </w:r>
            <w:r w:rsidRPr="00314523">
              <w:t xml:space="preserve"> </w:t>
            </w:r>
            <w:r w:rsidRPr="00E252AE">
              <w:rPr>
                <w:lang w:val="el-GR"/>
              </w:rPr>
              <w:t>ὑπηγμένα</w:t>
            </w:r>
            <w:r w:rsidRPr="00314523">
              <w:t xml:space="preserve"> </w:t>
            </w:r>
            <w:r w:rsidRPr="00E252AE">
              <w:rPr>
                <w:lang w:val="el-GR"/>
              </w:rPr>
              <w:t>πάντα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πράγματα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προειμέν᾽</w:t>
            </w:r>
            <w:r w:rsidRPr="00314523">
              <w:t xml:space="preserve"> </w:t>
            </w:r>
            <w:r w:rsidRPr="00E252AE">
              <w:rPr>
                <w:lang w:val="el-GR"/>
              </w:rPr>
              <w:t>ὁρῶ</w:t>
            </w:r>
            <w:r w:rsidRPr="00314523">
              <w:t>,</w:t>
            </w:r>
            <w:r w:rsidR="00314523">
              <w:t xml:space="preserve"> </w:t>
            </w:r>
            <w:r w:rsidRPr="00E252AE">
              <w:rPr>
                <w:lang w:val="el-GR"/>
              </w:rPr>
              <w:t>ὥστε</w:t>
            </w:r>
            <w:r w:rsidRPr="00314523">
              <w:t xml:space="preserve"> </w:t>
            </w:r>
            <w:r w:rsidRPr="00E252AE">
              <w:rPr>
                <w:lang w:val="el-GR"/>
              </w:rPr>
              <w:t>δέδοικα</w:t>
            </w:r>
            <w:r w:rsidRPr="00314523">
              <w:t xml:space="preserve"> </w:t>
            </w:r>
            <w:r w:rsidRPr="00E252AE">
              <w:rPr>
                <w:lang w:val="el-GR"/>
              </w:rPr>
              <w:t>μὴ</w:t>
            </w:r>
            <w:r w:rsidRPr="00314523">
              <w:t xml:space="preserve"> </w:t>
            </w:r>
            <w:r w:rsidRPr="00E252AE">
              <w:rPr>
                <w:lang w:val="el-GR"/>
              </w:rPr>
              <w:t>βλάσφημον</w:t>
            </w:r>
            <w:r w:rsidRPr="00314523">
              <w:t xml:space="preserve"> </w:t>
            </w:r>
            <w:r w:rsidRPr="00E252AE">
              <w:rPr>
                <w:lang w:val="el-GR"/>
              </w:rPr>
              <w:t>μὲν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εἰπεῖν</w:t>
            </w:r>
            <w:r w:rsidRPr="00314523">
              <w:t xml:space="preserve">, </w:t>
            </w:r>
            <w:r w:rsidRPr="00E252AE">
              <w:rPr>
                <w:lang w:val="el-GR"/>
              </w:rPr>
              <w:t>ἀληθὲς</w:t>
            </w:r>
            <w:r w:rsidRPr="00314523">
              <w:t xml:space="preserve"> </w:t>
            </w:r>
            <w:r w:rsidRPr="00E252AE">
              <w:rPr>
                <w:lang w:val="el-GR"/>
              </w:rPr>
              <w:t>δ᾽</w:t>
            </w:r>
            <w:r w:rsidRPr="00314523">
              <w:t xml:space="preserve"> </w:t>
            </w:r>
            <w:r w:rsidRPr="00E252AE">
              <w:rPr>
                <w:lang w:val="el-GR"/>
              </w:rPr>
              <w:t>ᾖ·</w:t>
            </w:r>
            <w:r w:rsidR="00314523">
              <w:t xml:space="preserve"> </w:t>
            </w:r>
            <w:r w:rsidRPr="00E252AE">
              <w:rPr>
                <w:lang w:val="el-GR"/>
              </w:rPr>
              <w:t>εἰ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λέγειν</w:t>
            </w:r>
            <w:r w:rsidRPr="00314523">
              <w:t xml:space="preserve"> </w:t>
            </w:r>
            <w:r w:rsidRPr="00E252AE">
              <w:rPr>
                <w:lang w:val="el-GR"/>
              </w:rPr>
              <w:t>ἅπαντες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ἐβούλονθ᾽</w:t>
            </w:r>
            <w:r w:rsidRPr="00314523">
              <w:t xml:space="preserve"> </w:t>
            </w:r>
            <w:r w:rsidRPr="00E252AE">
              <w:rPr>
                <w:lang w:val="el-GR"/>
              </w:rPr>
              <w:t>οἱ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παριόντες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χειροτονεῖν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ὑμεῖς</w:t>
            </w:r>
            <w:r>
              <w:rPr>
                <w:rStyle w:val="Funotenzeichen"/>
                <w:lang w:val="el-GR"/>
              </w:rPr>
              <w:footnoteReference w:id="4"/>
            </w:r>
            <w:r w:rsidR="00314523">
              <w:t xml:space="preserve"> </w:t>
            </w:r>
            <w:r w:rsidRPr="00E252AE">
              <w:rPr>
                <w:lang w:val="el-GR"/>
              </w:rPr>
              <w:t>ἐξ</w:t>
            </w:r>
            <w:r w:rsidRPr="00314523">
              <w:t xml:space="preserve"> </w:t>
            </w:r>
            <w:r w:rsidRPr="00E252AE">
              <w:rPr>
                <w:lang w:val="el-GR"/>
              </w:rPr>
              <w:t>ὧν</w:t>
            </w:r>
            <w:r w:rsidRPr="00314523">
              <w:t xml:space="preserve"> </w:t>
            </w:r>
            <w:r w:rsidRPr="00E252AE">
              <w:rPr>
                <w:lang w:val="el-GR"/>
              </w:rPr>
              <w:t>ὡς</w:t>
            </w:r>
            <w:r w:rsidRPr="00314523">
              <w:t xml:space="preserve"> </w:t>
            </w:r>
            <w:r w:rsidRPr="00E252AE">
              <w:rPr>
                <w:lang w:val="el-GR"/>
              </w:rPr>
              <w:t>φαυλότατ᾽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ἔμελλε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πράγμαθ᾽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ἕξειν</w:t>
            </w:r>
            <w:r w:rsidRPr="00314523">
              <w:t>,</w:t>
            </w:r>
            <w:r w:rsidR="00314523">
              <w:t xml:space="preserve"> </w:t>
            </w:r>
            <w:r w:rsidRPr="00E252AE">
              <w:rPr>
                <w:lang w:val="el-GR"/>
              </w:rPr>
              <w:t>οὐκ</w:t>
            </w:r>
            <w:r w:rsidRPr="00314523">
              <w:t xml:space="preserve"> </w:t>
            </w:r>
            <w:r w:rsidRPr="00E252AE">
              <w:rPr>
                <w:lang w:val="el-GR"/>
              </w:rPr>
              <w:t>ἂν</w:t>
            </w:r>
            <w:r w:rsidRPr="00314523">
              <w:t xml:space="preserve"> </w:t>
            </w:r>
            <w:r w:rsidRPr="00E252AE">
              <w:rPr>
                <w:lang w:val="el-GR"/>
              </w:rPr>
              <w:t>ἡγοῦμαι</w:t>
            </w:r>
            <w:r w:rsidRPr="00314523">
              <w:t xml:space="preserve"> </w:t>
            </w:r>
            <w:r w:rsidRPr="00E252AE">
              <w:rPr>
                <w:lang w:val="el-GR"/>
              </w:rPr>
              <w:t>δύνασθαι</w:t>
            </w:r>
            <w:r w:rsidRPr="00314523">
              <w:t xml:space="preserve"> </w:t>
            </w:r>
            <w:r w:rsidRPr="00E252AE">
              <w:rPr>
                <w:lang w:val="el-GR"/>
              </w:rPr>
              <w:t>χεῖρον</w:t>
            </w:r>
            <w:r w:rsidRPr="00314523">
              <w:t xml:space="preserve"> </w:t>
            </w:r>
            <w:r w:rsidRPr="00E252AE">
              <w:rPr>
                <w:lang w:val="el-GR"/>
              </w:rPr>
              <w:t>ἢ</w:t>
            </w:r>
            <w:r w:rsidRPr="00314523">
              <w:t xml:space="preserve"> </w:t>
            </w:r>
            <w:r w:rsidRPr="00E252AE">
              <w:rPr>
                <w:lang w:val="el-GR"/>
              </w:rPr>
              <w:t>νῦν</w:t>
            </w:r>
            <w:r w:rsidRPr="00314523">
              <w:t xml:space="preserve"> </w:t>
            </w:r>
            <w:r w:rsidRPr="00E252AE">
              <w:rPr>
                <w:lang w:val="el-GR"/>
              </w:rPr>
              <w:t>διατεθῆναι</w:t>
            </w:r>
            <w:r w:rsidRPr="00314523">
              <w:t xml:space="preserve">. </w:t>
            </w:r>
          </w:p>
        </w:tc>
        <w:tc>
          <w:tcPr>
            <w:tcW w:w="8423" w:type="dxa"/>
          </w:tcPr>
          <w:p w14:paraId="0F9AB84A" w14:textId="77777777" w:rsidR="00F441EF" w:rsidRPr="00314523" w:rsidRDefault="00F441EF" w:rsidP="00BA47C7"/>
        </w:tc>
      </w:tr>
      <w:tr w:rsidR="00F441EF" w:rsidRPr="00314523" w14:paraId="6FBE09FC" w14:textId="3D9CB2B2" w:rsidTr="00F441EF">
        <w:tc>
          <w:tcPr>
            <w:tcW w:w="7453" w:type="dxa"/>
          </w:tcPr>
          <w:p w14:paraId="468B796C" w14:textId="563845FE" w:rsidR="00F441EF" w:rsidRPr="00314523" w:rsidRDefault="00F441EF" w:rsidP="00BA47C7">
            <w:r w:rsidRPr="00314523">
              <w:t xml:space="preserve">[2] </w:t>
            </w:r>
            <w:r w:rsidRPr="00E252AE">
              <w:rPr>
                <w:lang w:val="el-GR"/>
              </w:rPr>
              <w:t>πολλὰ</w:t>
            </w:r>
            <w:r w:rsidRPr="00314523">
              <w:t xml:space="preserve"> </w:t>
            </w:r>
            <w:r w:rsidRPr="00E252AE">
              <w:rPr>
                <w:lang w:val="el-GR"/>
              </w:rPr>
              <w:t>μὲν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οὖν</w:t>
            </w:r>
            <w:r w:rsidRPr="00314523">
              <w:t xml:space="preserve"> </w:t>
            </w:r>
            <w:r w:rsidRPr="00E252AE">
              <w:rPr>
                <w:lang w:val="el-GR"/>
              </w:rPr>
              <w:t>ἴσως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ἐστὶν</w:t>
            </w:r>
            <w:r w:rsidRPr="00314523">
              <w:t xml:space="preserve"> </w:t>
            </w:r>
            <w:r w:rsidRPr="00E252AE">
              <w:rPr>
                <w:lang w:val="el-GR"/>
              </w:rPr>
              <w:t>αἴτια</w:t>
            </w:r>
            <w:r w:rsidRPr="00314523">
              <w:t xml:space="preserve"> </w:t>
            </w:r>
            <w:r w:rsidRPr="00E252AE">
              <w:rPr>
                <w:lang w:val="el-GR"/>
              </w:rPr>
              <w:t>τούτων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οὐ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ἓν</w:t>
            </w:r>
            <w:r>
              <w:rPr>
                <w:rStyle w:val="Funotenzeichen"/>
                <w:lang w:val="el-GR"/>
              </w:rPr>
              <w:footnoteReference w:id="5"/>
            </w:r>
            <w:r w:rsidRPr="00314523">
              <w:t xml:space="preserve"> </w:t>
            </w:r>
            <w:r w:rsidRPr="00E252AE">
              <w:rPr>
                <w:lang w:val="el-GR"/>
              </w:rPr>
              <w:t>οὐδὲ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δύ᾽</w:t>
            </w:r>
            <w:r w:rsidRPr="00314523">
              <w:t xml:space="preserve"> </w:t>
            </w:r>
            <w:r w:rsidRPr="00E252AE">
              <w:rPr>
                <w:lang w:val="el-GR"/>
              </w:rPr>
              <w:t>εἰς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τοῦτο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πράγματ᾽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ἀφῖκται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μάλιστα</w:t>
            </w:r>
            <w:r w:rsidRPr="00314523">
              <w:t xml:space="preserve"> </w:t>
            </w:r>
            <w:r w:rsidRPr="00E252AE">
              <w:rPr>
                <w:lang w:val="el-GR"/>
              </w:rPr>
              <w:t>δ᾽</w:t>
            </w:r>
            <w:r w:rsidRPr="00314523">
              <w:t xml:space="preserve">, </w:t>
            </w:r>
            <w:r w:rsidRPr="00E252AE">
              <w:rPr>
                <w:lang w:val="el-GR"/>
              </w:rPr>
              <w:t>ἄνπερ</w:t>
            </w:r>
            <w:r w:rsidRPr="00314523">
              <w:t xml:space="preserve"> </w:t>
            </w:r>
            <w:r w:rsidRPr="00E252AE">
              <w:rPr>
                <w:lang w:val="el-GR"/>
              </w:rPr>
              <w:t>ἐξετάζητ᾽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ὀρθῶς</w:t>
            </w:r>
            <w:r w:rsidRPr="00314523">
              <w:t xml:space="preserve">, </w:t>
            </w:r>
            <w:r w:rsidRPr="00E252AE">
              <w:rPr>
                <w:lang w:val="el-GR"/>
              </w:rPr>
              <w:t>εὑρήσετε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διὰ</w:t>
            </w:r>
            <w:r>
              <w:rPr>
                <w:rStyle w:val="Funotenzeichen"/>
                <w:lang w:val="el-GR"/>
              </w:rPr>
              <w:footnoteReference w:id="6"/>
            </w:r>
            <w:r w:rsidRPr="00314523">
              <w:t xml:space="preserve"> </w:t>
            </w:r>
            <w:r w:rsidRPr="00E252AE">
              <w:rPr>
                <w:lang w:val="el-GR"/>
              </w:rPr>
              <w:t>τοὺς</w:t>
            </w:r>
            <w:r w:rsidRPr="00314523">
              <w:t xml:space="preserve"> </w:t>
            </w:r>
            <w:r w:rsidRPr="00E252AE">
              <w:rPr>
                <w:lang w:val="el-GR"/>
              </w:rPr>
              <w:t>χαρίζεσθαι</w:t>
            </w:r>
            <w:r w:rsidRPr="00314523">
              <w:t xml:space="preserve"> </w:t>
            </w:r>
            <w:r w:rsidRPr="00E252AE">
              <w:rPr>
                <w:lang w:val="el-GR"/>
              </w:rPr>
              <w:t>μᾶλλον</w:t>
            </w:r>
            <w:r w:rsidRPr="00314523">
              <w:t xml:space="preserve"> </w:t>
            </w:r>
            <w:r w:rsidRPr="00E252AE">
              <w:rPr>
                <w:lang w:val="el-GR"/>
              </w:rPr>
              <w:t>ἢ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βέλτιστα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λέγειν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προαιρουμένους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ὧν</w:t>
            </w:r>
            <w:r w:rsidRPr="00314523">
              <w:t xml:space="preserve"> </w:t>
            </w:r>
            <w:r w:rsidRPr="00E252AE">
              <w:rPr>
                <w:lang w:val="el-GR"/>
              </w:rPr>
              <w:t>τινες</w:t>
            </w:r>
            <w:r w:rsidRPr="00314523">
              <w:t xml:space="preserve"> </w:t>
            </w:r>
            <w:r w:rsidRPr="00E252AE">
              <w:rPr>
                <w:lang w:val="el-GR"/>
              </w:rPr>
              <w:t>μέν</w:t>
            </w:r>
            <w:r w:rsidRPr="00314523">
              <w:t xml:space="preserve">, </w:t>
            </w:r>
            <w:r w:rsidRPr="00E252AE">
              <w:rPr>
                <w:lang w:val="el-GR"/>
              </w:rPr>
              <w:t>ὦ</w:t>
            </w:r>
            <w:r w:rsidRPr="00314523">
              <w:t xml:space="preserve"> </w:t>
            </w:r>
            <w:r w:rsidRPr="00E252AE">
              <w:rPr>
                <w:lang w:val="el-GR"/>
              </w:rPr>
              <w:t>ἄνδρες</w:t>
            </w:r>
            <w:r w:rsidRPr="00314523">
              <w:t xml:space="preserve"> </w:t>
            </w:r>
            <w:r w:rsidRPr="00E252AE">
              <w:rPr>
                <w:lang w:val="el-GR"/>
              </w:rPr>
              <w:t>Ἀθηναῖοι</w:t>
            </w:r>
            <w:r w:rsidRPr="00314523">
              <w:t xml:space="preserve">, </w:t>
            </w:r>
            <w:r w:rsidRPr="00314523">
              <w:br/>
            </w:r>
            <w:r>
              <w:rPr>
                <w:rStyle w:val="Funotenzeichen"/>
                <w:lang w:val="el-GR"/>
              </w:rPr>
              <w:footnoteReference w:id="7"/>
            </w:r>
            <w:r w:rsidRPr="00E252AE">
              <w:rPr>
                <w:lang w:val="el-GR"/>
              </w:rPr>
              <w:t>ἐν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οἷς</w:t>
            </w:r>
            <w:r w:rsidRPr="00314523">
              <w:t xml:space="preserve"> </w:t>
            </w:r>
            <w:r w:rsidRPr="00E252AE">
              <w:rPr>
                <w:lang w:val="el-GR"/>
              </w:rPr>
              <w:t>εὐδοκιμοῦσιν</w:t>
            </w:r>
            <w:r w:rsidRPr="00314523">
              <w:t xml:space="preserve"> </w:t>
            </w:r>
            <w:r w:rsidRPr="00E252AE">
              <w:rPr>
                <w:lang w:val="el-GR"/>
              </w:rPr>
              <w:t>αὐτοὶ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δύνανται</w:t>
            </w:r>
            <w:r w:rsidRPr="00314523">
              <w:t xml:space="preserve">, </w:t>
            </w:r>
            <w:r w:rsidRPr="00E252AE">
              <w:rPr>
                <w:lang w:val="el-GR"/>
              </w:rPr>
              <w:t>ταῦτα</w:t>
            </w:r>
            <w:r w:rsidRPr="00314523">
              <w:t xml:space="preserve"> </w:t>
            </w:r>
            <w:r w:rsidRPr="00E252AE">
              <w:rPr>
                <w:lang w:val="el-GR"/>
              </w:rPr>
              <w:t>φυλάττοντες</w:t>
            </w:r>
            <w:r w:rsidRPr="00314523">
              <w:t xml:space="preserve"> </w:t>
            </w:r>
            <w:r w:rsidRPr="00314523">
              <w:br/>
            </w:r>
            <w:r w:rsidRPr="00E252AE">
              <w:rPr>
                <w:lang w:val="el-GR"/>
              </w:rPr>
              <w:t>οὐδεμίαν</w:t>
            </w:r>
            <w:r w:rsidRPr="00314523">
              <w:t xml:space="preserve"> </w:t>
            </w:r>
            <w:r w:rsidRPr="00E252AE">
              <w:rPr>
                <w:lang w:val="el-GR"/>
              </w:rPr>
              <w:t>περὶ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μελλόντων</w:t>
            </w:r>
            <w:r w:rsidRPr="00314523">
              <w:t xml:space="preserve"> </w:t>
            </w:r>
            <w:r w:rsidRPr="00E252AE">
              <w:rPr>
                <w:lang w:val="el-GR"/>
              </w:rPr>
              <w:t>πρόνοιαν</w:t>
            </w:r>
            <w:r w:rsidRPr="00314523">
              <w:t xml:space="preserve"> </w:t>
            </w:r>
            <w:r w:rsidRPr="00E252AE">
              <w:rPr>
                <w:lang w:val="el-GR"/>
              </w:rPr>
              <w:t>ἔχουσιν</w:t>
            </w:r>
            <w:r w:rsidRPr="00314523">
              <w:t xml:space="preserve">, </w:t>
            </w:r>
            <w:r w:rsidRPr="00314523">
              <w:br/>
            </w:r>
            <w:r>
              <w:rPr>
                <w:rStyle w:val="Funotenzeichen"/>
                <w:lang w:val="el-GR"/>
              </w:rPr>
              <w:footnoteReference w:id="8"/>
            </w:r>
            <w:r w:rsidRPr="00314523">
              <w:t>[</w:t>
            </w:r>
            <w:r w:rsidRPr="00E252AE">
              <w:rPr>
                <w:lang w:val="el-GR"/>
              </w:rPr>
              <w:t>οὐκοῦν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οὐδ᾽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ὑμᾶς</w:t>
            </w:r>
            <w:r w:rsidRPr="00314523">
              <w:t xml:space="preserve"> </w:t>
            </w:r>
            <w:r w:rsidRPr="00E252AE">
              <w:rPr>
                <w:lang w:val="el-GR"/>
              </w:rPr>
              <w:t>οἴονται</w:t>
            </w:r>
            <w:r w:rsidRPr="00314523">
              <w:t xml:space="preserve"> </w:t>
            </w:r>
            <w:r w:rsidRPr="00E252AE">
              <w:rPr>
                <w:lang w:val="el-GR"/>
              </w:rPr>
              <w:t>δεῖν</w:t>
            </w:r>
            <w:r w:rsidRPr="00314523">
              <w:t xml:space="preserve"> </w:t>
            </w:r>
            <w:r w:rsidRPr="00E252AE">
              <w:rPr>
                <w:lang w:val="el-GR"/>
              </w:rPr>
              <w:t>ἔχειν</w:t>
            </w:r>
            <w:r>
              <w:rPr>
                <w:rStyle w:val="Funotenzeichen"/>
                <w:lang w:val="el-GR"/>
              </w:rPr>
              <w:footnoteReference w:id="9"/>
            </w:r>
            <w:r w:rsidRPr="00314523">
              <w:t>,]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ἕτεροι</w:t>
            </w:r>
            <w:r w:rsidRPr="00314523">
              <w:t xml:space="preserve"> </w:t>
            </w:r>
            <w:r w:rsidRPr="00E252AE">
              <w:rPr>
                <w:lang w:val="el-GR"/>
              </w:rPr>
              <w:t>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τοὺς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ἐπὶ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πράγμασιν</w:t>
            </w:r>
            <w:r w:rsidRPr="00314523">
              <w:t xml:space="preserve"> </w:t>
            </w:r>
            <w:r w:rsidRPr="00E252AE">
              <w:rPr>
                <w:lang w:val="el-GR"/>
              </w:rPr>
              <w:t>ὄντας</w:t>
            </w:r>
            <w:r w:rsidRPr="00314523">
              <w:t xml:space="preserve"> </w:t>
            </w:r>
            <w:r w:rsidRPr="00E252AE">
              <w:rPr>
                <w:lang w:val="el-GR"/>
              </w:rPr>
              <w:t>αἰτιώμενοι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διαβάλλοντες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οὐδὲν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ἄλλο</w:t>
            </w:r>
            <w:r w:rsidRPr="00314523">
              <w:t xml:space="preserve"> </w:t>
            </w:r>
            <w:r w:rsidRPr="00E252AE">
              <w:rPr>
                <w:lang w:val="el-GR"/>
              </w:rPr>
              <w:t>ποιοῦσιν</w:t>
            </w:r>
            <w:r w:rsidRPr="00314523">
              <w:t xml:space="preserve"> </w:t>
            </w:r>
            <w:r w:rsidRPr="00E252AE">
              <w:rPr>
                <w:lang w:val="el-GR"/>
              </w:rPr>
              <w:t>ἢ</w:t>
            </w:r>
            <w:r w:rsidRPr="00314523">
              <w:t xml:space="preserve"> </w:t>
            </w:r>
            <w:r w:rsidRPr="00E252AE">
              <w:rPr>
                <w:lang w:val="el-GR"/>
              </w:rPr>
              <w:t>ὅπως</w:t>
            </w:r>
            <w:r w:rsidRPr="00314523">
              <w:t xml:space="preserve"> </w:t>
            </w:r>
            <w:r w:rsidRPr="00E252AE">
              <w:rPr>
                <w:lang w:val="el-GR"/>
              </w:rPr>
              <w:t>ἡ</w:t>
            </w:r>
            <w:r w:rsidRPr="00314523">
              <w:t xml:space="preserve"> </w:t>
            </w:r>
            <w:r w:rsidRPr="00E252AE">
              <w:rPr>
                <w:lang w:val="el-GR"/>
              </w:rPr>
              <w:t>μὲν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πόλις</w:t>
            </w:r>
            <w:r w:rsidRPr="00314523">
              <w:t xml:space="preserve"> </w:t>
            </w:r>
            <w:r w:rsidRPr="00E252AE">
              <w:rPr>
                <w:lang w:val="el-GR"/>
              </w:rPr>
              <w:t>αὐτὴ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παρ᾽</w:t>
            </w:r>
            <w:r w:rsidRPr="00314523">
              <w:t xml:space="preserve"> </w:t>
            </w:r>
            <w:r w:rsidRPr="00E252AE">
              <w:rPr>
                <w:lang w:val="el-GR"/>
              </w:rPr>
              <w:t>αὑτῆς</w:t>
            </w:r>
            <w:r w:rsidRPr="00314523">
              <w:t xml:space="preserve"> </w:t>
            </w:r>
            <w:r w:rsidRPr="00E252AE">
              <w:rPr>
                <w:lang w:val="el-GR"/>
              </w:rPr>
              <w:t>δίκην</w:t>
            </w:r>
            <w:r w:rsidRPr="00314523">
              <w:t xml:space="preserve"> </w:t>
            </w:r>
            <w:r w:rsidRPr="00E252AE">
              <w:rPr>
                <w:lang w:val="el-GR"/>
              </w:rPr>
              <w:t>λήψεται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περὶ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τοῦτ᾽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ἔσται</w:t>
            </w:r>
            <w:r w:rsidRPr="00314523">
              <w:t xml:space="preserve">, </w:t>
            </w:r>
            <w:r w:rsidRPr="00E252AE">
              <w:rPr>
                <w:lang w:val="el-GR"/>
              </w:rPr>
              <w:t>Φιλίππῳ</w:t>
            </w:r>
            <w:r w:rsidRPr="00314523">
              <w:t xml:space="preserve"> </w:t>
            </w:r>
            <w:r w:rsidRPr="00E252AE">
              <w:rPr>
                <w:lang w:val="el-GR"/>
              </w:rPr>
              <w:t>δ᾽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ἐξέσται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λέγειν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πράττειν</w:t>
            </w:r>
            <w:r w:rsidRPr="00314523">
              <w:t xml:space="preserve"> </w:t>
            </w:r>
            <w:r w:rsidRPr="00E252AE">
              <w:rPr>
                <w:lang w:val="el-GR"/>
              </w:rPr>
              <w:t>ὅ</w:t>
            </w:r>
            <w:r w:rsidRPr="00314523">
              <w:t xml:space="preserve"> </w:t>
            </w:r>
            <w:r w:rsidRPr="00E252AE">
              <w:rPr>
                <w:lang w:val="el-GR"/>
              </w:rPr>
              <w:t>τι</w:t>
            </w:r>
            <w:r w:rsidRPr="00314523">
              <w:t xml:space="preserve"> </w:t>
            </w:r>
            <w:r w:rsidRPr="00E252AE">
              <w:rPr>
                <w:lang w:val="el-GR"/>
              </w:rPr>
              <w:t>βούλεται</w:t>
            </w:r>
            <w:r w:rsidRPr="00314523">
              <w:t>.</w:t>
            </w:r>
          </w:p>
        </w:tc>
        <w:tc>
          <w:tcPr>
            <w:tcW w:w="8423" w:type="dxa"/>
          </w:tcPr>
          <w:p w14:paraId="3F8018E7" w14:textId="77777777" w:rsidR="00F441EF" w:rsidRPr="00314523" w:rsidRDefault="00F441EF" w:rsidP="00BA47C7"/>
        </w:tc>
      </w:tr>
      <w:tr w:rsidR="00F441EF" w:rsidRPr="00314523" w14:paraId="57FBF8DF" w14:textId="30481F46" w:rsidTr="00F441EF">
        <w:tc>
          <w:tcPr>
            <w:tcW w:w="7453" w:type="dxa"/>
          </w:tcPr>
          <w:p w14:paraId="1DD6E42B" w14:textId="33E43878" w:rsidR="00F441EF" w:rsidRPr="00314523" w:rsidRDefault="00F441EF" w:rsidP="00BA47C7">
            <w:r w:rsidRPr="00314523">
              <w:t xml:space="preserve">[3] </w:t>
            </w:r>
            <w:r w:rsidRPr="00E252AE">
              <w:rPr>
                <w:lang w:val="el-GR"/>
              </w:rPr>
              <w:t>αἱ</w:t>
            </w:r>
            <w:r w:rsidRPr="00314523">
              <w:t xml:space="preserve"> </w:t>
            </w:r>
            <w:r w:rsidRPr="00E252AE">
              <w:rPr>
                <w:lang w:val="el-GR"/>
              </w:rPr>
              <w:t>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τοιαῦται</w:t>
            </w:r>
            <w:r w:rsidRPr="00314523">
              <w:t xml:space="preserve"> </w:t>
            </w:r>
            <w:r w:rsidRPr="00E252AE">
              <w:rPr>
                <w:lang w:val="el-GR"/>
              </w:rPr>
              <w:t>πολιτεῖαι</w:t>
            </w:r>
            <w:r w:rsidRPr="00314523">
              <w:t xml:space="preserve"> </w:t>
            </w:r>
            <w:r w:rsidRPr="00E252AE">
              <w:rPr>
                <w:lang w:val="el-GR"/>
              </w:rPr>
              <w:t>συνήθεις</w:t>
            </w:r>
            <w:r w:rsidRPr="00314523">
              <w:t xml:space="preserve"> </w:t>
            </w:r>
            <w:r w:rsidRPr="00E252AE">
              <w:rPr>
                <w:lang w:val="el-GR"/>
              </w:rPr>
              <w:t>μέν</w:t>
            </w:r>
            <w:r w:rsidRPr="00314523">
              <w:t xml:space="preserve"> </w:t>
            </w:r>
            <w:r w:rsidRPr="00E252AE">
              <w:rPr>
                <w:lang w:val="el-GR"/>
              </w:rPr>
              <w:t>εἰσιν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ὑμῖν</w:t>
            </w:r>
            <w:r w:rsidRPr="00314523">
              <w:t xml:space="preserve">, </w:t>
            </w:r>
            <w:r w:rsidRPr="00E252AE">
              <w:rPr>
                <w:lang w:val="el-GR"/>
              </w:rPr>
              <w:t>αἴτιαι</w:t>
            </w:r>
            <w:r w:rsidRPr="00314523">
              <w:t xml:space="preserve"> </w:t>
            </w:r>
            <w:r w:rsidRPr="00E252AE">
              <w:rPr>
                <w:lang w:val="el-GR"/>
              </w:rPr>
              <w:t>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τῶν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κακῶν</w:t>
            </w:r>
            <w:r w:rsidRPr="00314523">
              <w:t>.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ἀξιῶ</w:t>
            </w:r>
            <w:r w:rsidRPr="00314523">
              <w:t xml:space="preserve"> </w:t>
            </w:r>
            <w:r w:rsidRPr="00E252AE">
              <w:rPr>
                <w:lang w:val="el-GR"/>
              </w:rPr>
              <w:t>δ᾽</w:t>
            </w:r>
            <w:r w:rsidRPr="00314523">
              <w:t xml:space="preserve">, </w:t>
            </w:r>
            <w:r w:rsidRPr="00E252AE">
              <w:rPr>
                <w:lang w:val="el-GR"/>
              </w:rPr>
              <w:t>ὦ</w:t>
            </w:r>
            <w:r w:rsidRPr="00314523">
              <w:t xml:space="preserve"> </w:t>
            </w:r>
            <w:r w:rsidRPr="00E252AE">
              <w:rPr>
                <w:lang w:val="el-GR"/>
              </w:rPr>
              <w:t>ἄνδρες</w:t>
            </w:r>
            <w:r w:rsidRPr="00314523">
              <w:t xml:space="preserve"> </w:t>
            </w:r>
            <w:r w:rsidRPr="00E252AE">
              <w:rPr>
                <w:lang w:val="el-GR"/>
              </w:rPr>
              <w:t>Ἀθηναῖοι</w:t>
            </w:r>
            <w:r w:rsidRPr="00314523">
              <w:t xml:space="preserve">, </w:t>
            </w:r>
            <w:r w:rsidRPr="00E252AE">
              <w:rPr>
                <w:lang w:val="el-GR"/>
              </w:rPr>
              <w:t>ἄν</w:t>
            </w:r>
            <w:r w:rsidRPr="00314523">
              <w:t xml:space="preserve"> </w:t>
            </w:r>
            <w:r w:rsidRPr="00E252AE">
              <w:rPr>
                <w:lang w:val="el-GR"/>
              </w:rPr>
              <w:t>τι</w:t>
            </w:r>
            <w:r w:rsidRPr="00314523">
              <w:t xml:space="preserve"> </w:t>
            </w:r>
            <w:r w:rsidRPr="00E252AE">
              <w:rPr>
                <w:lang w:val="el-GR"/>
              </w:rPr>
              <w:t>τῶν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ἀληθῶν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μετὰ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παρρησίας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λέγω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μηδεμίαν</w:t>
            </w:r>
            <w:r w:rsidRPr="00314523">
              <w:t xml:space="preserve"> </w:t>
            </w:r>
            <w:r w:rsidRPr="00E252AE">
              <w:rPr>
                <w:lang w:val="el-GR"/>
              </w:rPr>
              <w:t>μοι</w:t>
            </w:r>
            <w:r w:rsidRPr="00314523">
              <w:t xml:space="preserve"> </w:t>
            </w:r>
            <w:r w:rsidRPr="00E252AE">
              <w:rPr>
                <w:lang w:val="el-GR"/>
              </w:rPr>
              <w:t>διὰ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τοῦτο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παρ᾽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ὀργὴν</w:t>
            </w:r>
            <w:r w:rsidRPr="00314523">
              <w:t xml:space="preserve"> </w:t>
            </w:r>
            <w:r w:rsidRPr="00E252AE">
              <w:rPr>
                <w:lang w:val="el-GR"/>
              </w:rPr>
              <w:t>γενέσθαι</w:t>
            </w:r>
            <w:r w:rsidRPr="00314523">
              <w:t xml:space="preserve">. </w:t>
            </w:r>
            <w:r w:rsidRPr="00E252AE">
              <w:rPr>
                <w:lang w:val="el-GR"/>
              </w:rPr>
              <w:t>σκοπεῖτε</w:t>
            </w:r>
            <w:r w:rsidRPr="00314523">
              <w:t xml:space="preserve"> </w:t>
            </w:r>
            <w:r w:rsidRPr="00E252AE">
              <w:rPr>
                <w:lang w:val="el-GR"/>
              </w:rPr>
              <w:t>γὰρ</w:t>
            </w:r>
            <w:r w:rsidRPr="00314523">
              <w:t xml:space="preserve"> </w:t>
            </w:r>
            <w:r w:rsidRPr="00E252AE">
              <w:rPr>
                <w:lang w:val="el-GR"/>
              </w:rPr>
              <w:t>ὡδί</w:t>
            </w:r>
            <w:r w:rsidRPr="00314523">
              <w:t>.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ὑμεῖς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τὴν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παρρησίαν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ἐπὶ</w:t>
            </w:r>
            <w:r w:rsidRPr="00314523">
              <w:t xml:space="preserve"> </w:t>
            </w:r>
            <w:r w:rsidRPr="00E252AE">
              <w:rPr>
                <w:lang w:val="el-GR"/>
              </w:rPr>
              <w:t>μὲν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τῶν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ἄλλων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οὕτω</w:t>
            </w:r>
            <w:r w:rsidRPr="00314523">
              <w:t xml:space="preserve"> </w:t>
            </w:r>
            <w:r w:rsidRPr="00E252AE">
              <w:rPr>
                <w:lang w:val="el-GR"/>
              </w:rPr>
              <w:t>κοινὴν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οἴεσθε</w:t>
            </w:r>
            <w:r w:rsidRPr="00314523">
              <w:t xml:space="preserve"> </w:t>
            </w:r>
            <w:r w:rsidRPr="00E252AE">
              <w:rPr>
                <w:lang w:val="el-GR"/>
              </w:rPr>
              <w:t>δεῖν</w:t>
            </w:r>
            <w:r w:rsidRPr="00314523">
              <w:t xml:space="preserve"> </w:t>
            </w:r>
            <w:r w:rsidRPr="00E252AE">
              <w:rPr>
                <w:lang w:val="el-GR"/>
              </w:rPr>
              <w:t>εἶναι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πᾶσι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ἐν</w:t>
            </w:r>
            <w:r w:rsidRPr="00314523">
              <w:t xml:space="preserve"> </w:t>
            </w:r>
            <w:r w:rsidRPr="00E252AE">
              <w:rPr>
                <w:lang w:val="el-GR"/>
              </w:rPr>
              <w:t>τῇ</w:t>
            </w:r>
            <w:r w:rsidRPr="00314523">
              <w:t xml:space="preserve"> </w:t>
            </w:r>
            <w:r w:rsidRPr="00E252AE">
              <w:rPr>
                <w:lang w:val="el-GR"/>
              </w:rPr>
              <w:t>πόλει</w:t>
            </w:r>
            <w:r w:rsidRPr="00314523">
              <w:t xml:space="preserve">, </w:t>
            </w:r>
            <w:r w:rsidRPr="00E252AE">
              <w:rPr>
                <w:lang w:val="el-GR"/>
              </w:rPr>
              <w:t>ὥστε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ξένοις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δούλοις</w:t>
            </w:r>
            <w:r w:rsidRPr="00314523">
              <w:t xml:space="preserve"> </w:t>
            </w:r>
            <w:r w:rsidRPr="00E252AE">
              <w:rPr>
                <w:lang w:val="el-GR"/>
              </w:rPr>
              <w:t>αὐτῆς</w:t>
            </w:r>
            <w:r w:rsidRPr="00314523">
              <w:t xml:space="preserve"> </w:t>
            </w:r>
            <w:r w:rsidRPr="00E252AE">
              <w:rPr>
                <w:lang w:val="el-GR"/>
              </w:rPr>
              <w:t>μεταδεδώκατε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πολλοὺς</w:t>
            </w:r>
            <w:r w:rsidRPr="00314523">
              <w:t xml:space="preserve"> </w:t>
            </w:r>
            <w:r w:rsidRPr="00E252AE">
              <w:rPr>
                <w:lang w:val="el-GR"/>
              </w:rPr>
              <w:t>ἄν</w:t>
            </w:r>
            <w:r w:rsidRPr="00314523">
              <w:t xml:space="preserve"> </w:t>
            </w:r>
            <w:r w:rsidRPr="00E252AE">
              <w:rPr>
                <w:lang w:val="el-GR"/>
              </w:rPr>
              <w:t>τις</w:t>
            </w:r>
            <w:r w:rsidRPr="00314523">
              <w:t xml:space="preserve"> </w:t>
            </w:r>
            <w:r w:rsidRPr="00E252AE">
              <w:rPr>
                <w:lang w:val="el-GR"/>
              </w:rPr>
              <w:t>οἰκέτας</w:t>
            </w:r>
            <w:r w:rsidRPr="00314523">
              <w:t xml:space="preserve"> </w:t>
            </w:r>
            <w:r w:rsidRPr="00E252AE">
              <w:rPr>
                <w:lang w:val="el-GR"/>
              </w:rPr>
              <w:t>ἴδοι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ἡμῖν</w:t>
            </w:r>
            <w:r w:rsidRPr="00314523">
              <w:t xml:space="preserve"> </w:t>
            </w:r>
            <w:r w:rsidRPr="00E252AE">
              <w:rPr>
                <w:lang w:val="el-GR"/>
              </w:rPr>
              <w:t>μετὰ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πλείονος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ἐξουσίας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ὅ</w:t>
            </w:r>
            <w:r w:rsidRPr="00314523">
              <w:t xml:space="preserve"> </w:t>
            </w:r>
            <w:r w:rsidRPr="00E252AE">
              <w:rPr>
                <w:lang w:val="el-GR"/>
              </w:rPr>
              <w:t>τι</w:t>
            </w:r>
            <w:r w:rsidRPr="00314523">
              <w:t xml:space="preserve"> </w:t>
            </w:r>
            <w:r w:rsidRPr="00E252AE">
              <w:rPr>
                <w:lang w:val="el-GR"/>
              </w:rPr>
              <w:t>βούλονται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λέγοντας</w:t>
            </w:r>
            <w:r w:rsidRPr="00314523">
              <w:t xml:space="preserve"> </w:t>
            </w:r>
            <w:r w:rsidRPr="00E252AE">
              <w:rPr>
                <w:lang w:val="el-GR"/>
              </w:rPr>
              <w:t>ἢ</w:t>
            </w:r>
            <w:r w:rsidRPr="00314523">
              <w:t xml:space="preserve"> </w:t>
            </w:r>
            <w:r w:rsidRPr="00E252AE">
              <w:rPr>
                <w:lang w:val="el-GR"/>
              </w:rPr>
              <w:t>πολίτας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ἐνίαις</w:t>
            </w:r>
            <w:r w:rsidRPr="00314523">
              <w:t xml:space="preserve"> </w:t>
            </w:r>
            <w:r w:rsidRPr="00E252AE">
              <w:rPr>
                <w:lang w:val="el-GR"/>
              </w:rPr>
              <w:t>τῶν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ἄλλων</w:t>
            </w:r>
            <w:r w:rsidRPr="00314523">
              <w:t xml:space="preserve"> </w:t>
            </w:r>
            <w:r w:rsidRPr="00E252AE">
              <w:rPr>
                <w:lang w:val="el-GR"/>
              </w:rPr>
              <w:t>πόλεων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ἐκ</w:t>
            </w:r>
            <w:r w:rsidRPr="00314523">
              <w:t xml:space="preserve"> </w:t>
            </w:r>
            <w:r w:rsidRPr="00E252AE">
              <w:rPr>
                <w:lang w:val="el-GR"/>
              </w:rPr>
              <w:t>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τοῦ</w:t>
            </w:r>
            <w:r w:rsidRPr="00314523">
              <w:t xml:space="preserve"> </w:t>
            </w:r>
            <w:r w:rsidRPr="00E252AE">
              <w:rPr>
                <w:lang w:val="el-GR"/>
              </w:rPr>
              <w:t>συμβουλεύειν</w:t>
            </w:r>
            <w:r w:rsidRPr="00314523">
              <w:t xml:space="preserve"> </w:t>
            </w:r>
            <w:r w:rsidRPr="00E252AE">
              <w:rPr>
                <w:lang w:val="el-GR"/>
              </w:rPr>
              <w:t>παντάπασιν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ἐξεληλάκατε</w:t>
            </w:r>
            <w:r>
              <w:rPr>
                <w:rStyle w:val="Funotenzeichen"/>
                <w:lang w:val="el-GR"/>
              </w:rPr>
              <w:footnoteReference w:id="10"/>
            </w:r>
            <w:r w:rsidRPr="00314523">
              <w:t>.</w:t>
            </w:r>
          </w:p>
        </w:tc>
        <w:tc>
          <w:tcPr>
            <w:tcW w:w="8423" w:type="dxa"/>
          </w:tcPr>
          <w:p w14:paraId="59E49399" w14:textId="77777777" w:rsidR="00F441EF" w:rsidRPr="00314523" w:rsidRDefault="00F441EF" w:rsidP="00BA47C7"/>
        </w:tc>
      </w:tr>
      <w:tr w:rsidR="00F441EF" w:rsidRPr="00314523" w14:paraId="4CB730EF" w14:textId="30FF4640" w:rsidTr="00F441EF">
        <w:tc>
          <w:tcPr>
            <w:tcW w:w="7453" w:type="dxa"/>
          </w:tcPr>
          <w:p w14:paraId="10594BA2" w14:textId="61527CD0" w:rsidR="00F441EF" w:rsidRPr="00314523" w:rsidRDefault="00F441EF" w:rsidP="00BA47C7">
            <w:r w:rsidRPr="00314523">
              <w:lastRenderedPageBreak/>
              <w:t xml:space="preserve">[4] </w:t>
            </w:r>
            <w:r w:rsidRPr="00E252AE">
              <w:rPr>
                <w:lang w:val="el-GR"/>
              </w:rPr>
              <w:t>εἶθ᾽</w:t>
            </w:r>
            <w:r>
              <w:rPr>
                <w:rStyle w:val="Funotenzeichen"/>
                <w:lang w:val="el-GR"/>
              </w:rPr>
              <w:footnoteReference w:id="11"/>
            </w:r>
            <w:r w:rsidRPr="00314523">
              <w:t xml:space="preserve"> </w:t>
            </w:r>
            <w:r w:rsidRPr="00E252AE">
              <w:rPr>
                <w:lang w:val="el-GR"/>
              </w:rPr>
              <w:t>ὑμῖν</w:t>
            </w:r>
            <w:r w:rsidRPr="00314523">
              <w:t xml:space="preserve"> </w:t>
            </w:r>
            <w:r w:rsidRPr="00E252AE">
              <w:rPr>
                <w:lang w:val="el-GR"/>
              </w:rPr>
              <w:t>συμβέβηκεν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ἐκ</w:t>
            </w:r>
            <w:r w:rsidRPr="00314523">
              <w:t xml:space="preserve"> </w:t>
            </w:r>
            <w:r w:rsidRPr="00E252AE">
              <w:rPr>
                <w:lang w:val="el-GR"/>
              </w:rPr>
              <w:t>τούτου</w:t>
            </w:r>
            <w:r w:rsidRPr="00314523">
              <w:t xml:space="preserve"> </w:t>
            </w:r>
            <w:r w:rsidRPr="00314523">
              <w:br/>
            </w:r>
            <w:r w:rsidRPr="00E252AE">
              <w:rPr>
                <w:lang w:val="el-GR"/>
              </w:rPr>
              <w:t>ἐν</w:t>
            </w:r>
            <w:r w:rsidRPr="00314523">
              <w:t xml:space="preserve"> </w:t>
            </w:r>
            <w:r w:rsidRPr="00E252AE">
              <w:rPr>
                <w:lang w:val="el-GR"/>
              </w:rPr>
              <w:t>μὲν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ταῖς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ἐκκλησίαις</w:t>
            </w:r>
            <w:r w:rsidRPr="00314523">
              <w:t xml:space="preserve"> </w:t>
            </w:r>
            <w:r w:rsidRPr="00E252AE">
              <w:rPr>
                <w:lang w:val="el-GR"/>
              </w:rPr>
              <w:t>τρυφᾶν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κολακεύεσθαι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πάντα</w:t>
            </w:r>
            <w:r w:rsidRPr="00314523">
              <w:t xml:space="preserve"> </w:t>
            </w:r>
            <w:r w:rsidRPr="00E252AE">
              <w:rPr>
                <w:lang w:val="el-GR"/>
              </w:rPr>
              <w:t>πρὸς</w:t>
            </w:r>
            <w:r w:rsidRPr="00314523">
              <w:t xml:space="preserve"> </w:t>
            </w:r>
            <w:r w:rsidRPr="00E252AE">
              <w:rPr>
                <w:lang w:val="el-GR"/>
              </w:rPr>
              <w:t>ἡδονὴν</w:t>
            </w:r>
            <w:r w:rsidRPr="00314523">
              <w:t xml:space="preserve"> </w:t>
            </w:r>
            <w:r w:rsidRPr="00E252AE">
              <w:rPr>
                <w:lang w:val="el-GR"/>
              </w:rPr>
              <w:t>ἀκούουσιν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ἐν</w:t>
            </w:r>
            <w:r w:rsidRPr="00314523">
              <w:t xml:space="preserve"> </w:t>
            </w:r>
            <w:r w:rsidRPr="00E252AE">
              <w:rPr>
                <w:lang w:val="el-GR"/>
              </w:rPr>
              <w:t>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πράγμασι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γιγνομένοις</w:t>
            </w:r>
            <w:r w:rsidRPr="00314523">
              <w:t xml:space="preserve"> </w:t>
            </w:r>
            <w:r w:rsidRPr="00E252AE">
              <w:rPr>
                <w:lang w:val="el-GR"/>
              </w:rPr>
              <w:t>περὶ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ἐσχάτων</w:t>
            </w:r>
            <w:r w:rsidRPr="00314523">
              <w:t xml:space="preserve"> </w:t>
            </w:r>
            <w:r w:rsidRPr="00E252AE">
              <w:rPr>
                <w:lang w:val="el-GR"/>
              </w:rPr>
              <w:t>ἤδη</w:t>
            </w:r>
            <w:r w:rsidRPr="00314523">
              <w:t xml:space="preserve"> </w:t>
            </w:r>
            <w:r w:rsidRPr="00E252AE">
              <w:rPr>
                <w:lang w:val="el-GR"/>
              </w:rPr>
              <w:t>κινδυνεύειν</w:t>
            </w:r>
            <w:r w:rsidRPr="00314523">
              <w:t>.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εἰ</w:t>
            </w:r>
            <w:r w:rsidRPr="00314523">
              <w:t xml:space="preserve"> </w:t>
            </w:r>
            <w:r w:rsidRPr="00E252AE">
              <w:rPr>
                <w:lang w:val="el-GR"/>
              </w:rPr>
              <w:t>μὲν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οὖν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νῦν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οὕτω</w:t>
            </w:r>
            <w:r w:rsidRPr="00314523">
              <w:t xml:space="preserve"> </w:t>
            </w:r>
            <w:r w:rsidRPr="00E252AE">
              <w:rPr>
                <w:lang w:val="el-GR"/>
              </w:rPr>
              <w:t>διάκεισθε</w:t>
            </w:r>
            <w:r w:rsidRPr="00314523">
              <w:t xml:space="preserve">, </w:t>
            </w:r>
            <w:r w:rsidRPr="00E252AE">
              <w:rPr>
                <w:lang w:val="el-GR"/>
              </w:rPr>
              <w:t>οὐκ</w:t>
            </w:r>
            <w:r w:rsidRPr="00314523">
              <w:t xml:space="preserve"> </w:t>
            </w:r>
            <w:r w:rsidRPr="00E252AE">
              <w:rPr>
                <w:lang w:val="el-GR"/>
              </w:rPr>
              <w:t>ἔχω</w:t>
            </w:r>
            <w:r w:rsidRPr="00314523">
              <w:t xml:space="preserve"> </w:t>
            </w:r>
            <w:r w:rsidRPr="00E252AE">
              <w:rPr>
                <w:lang w:val="el-GR"/>
              </w:rPr>
              <w:t>τί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λέγω·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εἰ</w:t>
            </w:r>
            <w:r w:rsidRPr="00314523">
              <w:t xml:space="preserve"> </w:t>
            </w:r>
            <w:r w:rsidRPr="00E252AE">
              <w:rPr>
                <w:lang w:val="el-GR"/>
              </w:rPr>
              <w:t>δ᾽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ἃ</w:t>
            </w:r>
            <w:r w:rsidRPr="00314523">
              <w:t xml:space="preserve"> </w:t>
            </w:r>
            <w:r w:rsidRPr="00E252AE">
              <w:rPr>
                <w:lang w:val="el-GR"/>
              </w:rPr>
              <w:t>συμφέρει</w:t>
            </w:r>
            <w:r w:rsidRPr="00314523">
              <w:t xml:space="preserve"> </w:t>
            </w:r>
            <w:r w:rsidRPr="00E252AE">
              <w:rPr>
                <w:lang w:val="el-GR"/>
              </w:rPr>
              <w:t>χωρὶς</w:t>
            </w:r>
            <w:r w:rsidRPr="00314523">
              <w:t xml:space="preserve"> </w:t>
            </w:r>
            <w:r w:rsidRPr="00E252AE">
              <w:rPr>
                <w:lang w:val="el-GR"/>
              </w:rPr>
              <w:t>κολακείας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ἐθελήσετ᾽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ἀκούειν</w:t>
            </w:r>
            <w:r w:rsidRPr="00314523">
              <w:t xml:space="preserve">, </w:t>
            </w:r>
            <w:r w:rsidRPr="00E252AE">
              <w:rPr>
                <w:lang w:val="el-GR"/>
              </w:rPr>
              <w:t>ἕτοιμος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λέγειν</w:t>
            </w:r>
            <w:r>
              <w:rPr>
                <w:rStyle w:val="Funotenzeichen"/>
                <w:lang w:val="el-GR"/>
              </w:rPr>
              <w:footnoteReference w:id="12"/>
            </w:r>
            <w:r w:rsidRPr="00314523">
              <w:t>.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γὰρ</w:t>
            </w:r>
            <w:r w:rsidRPr="00314523">
              <w:t xml:space="preserve"> </w:t>
            </w:r>
            <w:r w:rsidRPr="00E252AE">
              <w:rPr>
                <w:lang w:val="el-GR"/>
              </w:rPr>
              <w:t>εἰ</w:t>
            </w:r>
            <w:r w:rsidRPr="00314523">
              <w:t xml:space="preserve"> </w:t>
            </w:r>
            <w:r w:rsidRPr="00E252AE">
              <w:rPr>
                <w:lang w:val="el-GR"/>
              </w:rPr>
              <w:t>πάνυ</w:t>
            </w:r>
            <w:r w:rsidRPr="00314523">
              <w:t xml:space="preserve"> </w:t>
            </w:r>
            <w:r w:rsidRPr="00E252AE">
              <w:rPr>
                <w:lang w:val="el-GR"/>
              </w:rPr>
              <w:t>φαύλως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πράγματ᾽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ἔχει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πολλὰ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προεῖται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ὅμως</w:t>
            </w:r>
            <w:r w:rsidRPr="00314523">
              <w:t xml:space="preserve"> </w:t>
            </w:r>
            <w:r w:rsidRPr="00E252AE">
              <w:rPr>
                <w:lang w:val="el-GR"/>
              </w:rPr>
              <w:t>ἔστιν</w:t>
            </w:r>
            <w:r w:rsidRPr="00314523">
              <w:t xml:space="preserve">, </w:t>
            </w:r>
            <w:r w:rsidRPr="00E252AE">
              <w:rPr>
                <w:lang w:val="el-GR"/>
              </w:rPr>
              <w:t>ἐὰν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ὑμεῖς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δέοντα</w:t>
            </w:r>
            <w:r w:rsidRPr="00314523">
              <w:t xml:space="preserve"> </w:t>
            </w:r>
            <w:r w:rsidRPr="00E252AE">
              <w:rPr>
                <w:lang w:val="el-GR"/>
              </w:rPr>
              <w:t>ποιεῖν</w:t>
            </w:r>
            <w:r w:rsidRPr="00314523">
              <w:t xml:space="preserve"> </w:t>
            </w:r>
            <w:r w:rsidRPr="00E252AE">
              <w:rPr>
                <w:lang w:val="el-GR"/>
              </w:rPr>
              <w:t>βούλησθε</w:t>
            </w:r>
            <w:r w:rsidRPr="00314523">
              <w:t xml:space="preserve">, </w:t>
            </w:r>
            <w:r w:rsidRPr="00E252AE">
              <w:rPr>
                <w:lang w:val="el-GR"/>
              </w:rPr>
              <w:t>ἔτι</w:t>
            </w:r>
            <w:r w:rsidRPr="00314523">
              <w:t xml:space="preserve"> </w:t>
            </w:r>
            <w:r w:rsidRPr="00E252AE">
              <w:rPr>
                <w:lang w:val="el-GR"/>
              </w:rPr>
              <w:t>πάντα</w:t>
            </w:r>
            <w:r w:rsidRPr="00314523">
              <w:t xml:space="preserve"> </w:t>
            </w:r>
            <w:r w:rsidRPr="00E252AE">
              <w:rPr>
                <w:lang w:val="el-GR"/>
              </w:rPr>
              <w:t>ταῦτ᾽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ἐπανορθώσασθαι</w:t>
            </w:r>
            <w:r w:rsidRPr="00314523">
              <w:t>.</w:t>
            </w:r>
          </w:p>
        </w:tc>
        <w:tc>
          <w:tcPr>
            <w:tcW w:w="8423" w:type="dxa"/>
          </w:tcPr>
          <w:p w14:paraId="4C36CDC8" w14:textId="77777777" w:rsidR="00F441EF" w:rsidRPr="00314523" w:rsidRDefault="00F441EF" w:rsidP="00BA47C7"/>
        </w:tc>
      </w:tr>
      <w:tr w:rsidR="00F441EF" w:rsidRPr="00314523" w14:paraId="0C494495" w14:textId="6D8144E6" w:rsidTr="00F441EF">
        <w:tc>
          <w:tcPr>
            <w:tcW w:w="7453" w:type="dxa"/>
          </w:tcPr>
          <w:p w14:paraId="6F863FC4" w14:textId="343A0AB6" w:rsidR="00F441EF" w:rsidRPr="00314523" w:rsidRDefault="00F441EF" w:rsidP="00BA47C7">
            <w:r w:rsidRPr="00314523">
              <w:t xml:space="preserve">[5]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παράδοξον</w:t>
            </w:r>
            <w:r w:rsidRPr="00314523">
              <w:t xml:space="preserve"> </w:t>
            </w:r>
            <w:r w:rsidRPr="00E252AE">
              <w:rPr>
                <w:lang w:val="el-GR"/>
              </w:rPr>
              <w:t>μὲν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ἴσως</w:t>
            </w:r>
            <w:r w:rsidRPr="00314523">
              <w:t xml:space="preserve"> </w:t>
            </w:r>
            <w:r w:rsidRPr="00E252AE">
              <w:rPr>
                <w:lang w:val="el-GR"/>
              </w:rPr>
              <w:t>ἐστὶν</w:t>
            </w:r>
            <w:r w:rsidRPr="00314523">
              <w:t xml:space="preserve"> </w:t>
            </w:r>
            <w:r w:rsidRPr="00E252AE">
              <w:rPr>
                <w:lang w:val="el-GR"/>
              </w:rPr>
              <w:t>ὃ</w:t>
            </w:r>
            <w:r w:rsidRPr="00314523">
              <w:t xml:space="preserve"> </w:t>
            </w:r>
            <w:r w:rsidRPr="00E252AE">
              <w:rPr>
                <w:lang w:val="el-GR"/>
              </w:rPr>
              <w:t>μέλλω</w:t>
            </w:r>
            <w:r w:rsidRPr="00314523">
              <w:t xml:space="preserve"> </w:t>
            </w:r>
            <w:r w:rsidRPr="00E252AE">
              <w:rPr>
                <w:lang w:val="el-GR"/>
              </w:rPr>
              <w:t>λέγειν</w:t>
            </w:r>
            <w:r w:rsidRPr="00314523">
              <w:t xml:space="preserve">, </w:t>
            </w:r>
            <w:r w:rsidRPr="00E252AE">
              <w:rPr>
                <w:lang w:val="el-GR"/>
              </w:rPr>
              <w:t>ἀληθὲς</w:t>
            </w:r>
            <w:r w:rsidRPr="00314523">
              <w:t xml:space="preserve"> </w:t>
            </w:r>
            <w:r w:rsidRPr="00E252AE">
              <w:rPr>
                <w:lang w:val="el-GR"/>
              </w:rPr>
              <w:t>δέ·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τὸ</w:t>
            </w:r>
            <w:r w:rsidRPr="00314523">
              <w:t xml:space="preserve"> </w:t>
            </w:r>
            <w:r w:rsidRPr="00E252AE">
              <w:rPr>
                <w:lang w:val="el-GR"/>
              </w:rPr>
              <w:t>χείριστον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ἐν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τοῖς</w:t>
            </w:r>
            <w:r w:rsidRPr="00314523">
              <w:t xml:space="preserve"> </w:t>
            </w:r>
            <w:r w:rsidRPr="00E252AE">
              <w:rPr>
                <w:lang w:val="el-GR"/>
              </w:rPr>
              <w:t>παρεληλυθόσι</w:t>
            </w:r>
            <w:r w:rsidRPr="00314523">
              <w:t xml:space="preserve">, </w:t>
            </w:r>
            <w:r w:rsidRPr="00E252AE">
              <w:rPr>
                <w:lang w:val="el-GR"/>
              </w:rPr>
              <w:t>τοῦτο</w:t>
            </w:r>
            <w:r w:rsidRPr="00314523">
              <w:t xml:space="preserve"> </w:t>
            </w:r>
            <w:r w:rsidRPr="00E252AE">
              <w:rPr>
                <w:lang w:val="el-GR"/>
              </w:rPr>
              <w:t>πρὸς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μέλλοντα</w:t>
            </w:r>
            <w:r w:rsidRPr="00314523">
              <w:t xml:space="preserve"> </w:t>
            </w:r>
            <w:r w:rsidRPr="00E252AE">
              <w:rPr>
                <w:lang w:val="el-GR"/>
              </w:rPr>
              <w:t>βέλτιστον</w:t>
            </w:r>
            <w:r w:rsidRPr="00314523">
              <w:t xml:space="preserve"> </w:t>
            </w:r>
            <w:r w:rsidRPr="00E252AE">
              <w:rPr>
                <w:lang w:val="el-GR"/>
              </w:rPr>
              <w:t>ὑπάρχει</w:t>
            </w:r>
            <w:r w:rsidRPr="00314523">
              <w:t>.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τί</w:t>
            </w:r>
            <w:r w:rsidRPr="00314523">
              <w:t xml:space="preserve"> </w:t>
            </w:r>
            <w:r w:rsidRPr="00E252AE">
              <w:rPr>
                <w:lang w:val="el-GR"/>
              </w:rPr>
              <w:t>οὖν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ἐστι</w:t>
            </w:r>
            <w:r w:rsidRPr="00314523">
              <w:t xml:space="preserve"> </w:t>
            </w:r>
            <w:r w:rsidRPr="00E252AE">
              <w:rPr>
                <w:lang w:val="el-GR"/>
              </w:rPr>
              <w:t>τοῦτο</w:t>
            </w:r>
            <w:r w:rsidRPr="00314523">
              <w:t>;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ὅτι</w:t>
            </w:r>
            <w:r>
              <w:rPr>
                <w:rStyle w:val="Funotenzeichen"/>
                <w:lang w:val="el-GR"/>
              </w:rPr>
              <w:footnoteReference w:id="13"/>
            </w:r>
            <w:r w:rsidRPr="00314523">
              <w:t xml:space="preserve"> </w:t>
            </w:r>
            <w:r w:rsidRPr="00E252AE">
              <w:rPr>
                <w:lang w:val="el-GR"/>
              </w:rPr>
              <w:t>οὔτε</w:t>
            </w:r>
            <w:r w:rsidRPr="00314523">
              <w:t xml:space="preserve"> </w:t>
            </w:r>
            <w:r w:rsidRPr="00E252AE">
              <w:rPr>
                <w:lang w:val="el-GR"/>
              </w:rPr>
              <w:t>μικρὸν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οὔτε</w:t>
            </w:r>
            <w:r w:rsidRPr="00314523">
              <w:t xml:space="preserve"> </w:t>
            </w:r>
            <w:r w:rsidRPr="00E252AE">
              <w:rPr>
                <w:lang w:val="el-GR"/>
              </w:rPr>
              <w:t>μέγ᾽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οὐδὲν</w:t>
            </w:r>
            <w:r w:rsidRPr="00314523">
              <w:t xml:space="preserve"> </w:t>
            </w:r>
            <w:r w:rsidRPr="00E252AE">
              <w:rPr>
                <w:lang w:val="el-GR"/>
              </w:rPr>
              <w:t>τῶν</w:t>
            </w:r>
            <w:r w:rsidRPr="00314523">
              <w:t xml:space="preserve"> </w:t>
            </w:r>
            <w:r w:rsidRPr="00E252AE">
              <w:rPr>
                <w:lang w:val="el-GR"/>
              </w:rPr>
              <w:t>δεόντων</w:t>
            </w:r>
            <w:r w:rsidRPr="00314523">
              <w:t xml:space="preserve"> </w:t>
            </w:r>
            <w:r w:rsidRPr="00E252AE">
              <w:rPr>
                <w:lang w:val="el-GR"/>
              </w:rPr>
              <w:t>ποιούντων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ὑμῶν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κακῶς</w:t>
            </w:r>
            <w:r w:rsidRPr="00314523">
              <w:t xml:space="preserve"> </w:t>
            </w:r>
            <w:r w:rsidRPr="00E252AE">
              <w:rPr>
                <w:lang w:val="el-GR"/>
              </w:rPr>
              <w:t>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πράγματ᾽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ἔχει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ἐπεί</w:t>
            </w:r>
            <w:r w:rsidRPr="00314523">
              <w:t xml:space="preserve"> </w:t>
            </w:r>
            <w:r w:rsidRPr="00E252AE">
              <w:rPr>
                <w:lang w:val="el-GR"/>
              </w:rPr>
              <w:t>τοι</w:t>
            </w:r>
            <w:r w:rsidRPr="00314523">
              <w:t xml:space="preserve">, </w:t>
            </w:r>
            <w:r w:rsidRPr="00E252AE">
              <w:rPr>
                <w:lang w:val="el-GR"/>
              </w:rPr>
              <w:t>εἰ</w:t>
            </w:r>
            <w:r w:rsidRPr="00314523">
              <w:t xml:space="preserve"> </w:t>
            </w:r>
            <w:r w:rsidRPr="00E252AE">
              <w:rPr>
                <w:lang w:val="el-GR"/>
              </w:rPr>
              <w:t>πάνθ᾽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ἃ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προσῆκε</w:t>
            </w:r>
            <w:r w:rsidRPr="00314523">
              <w:t xml:space="preserve"> </w:t>
            </w:r>
            <w:r w:rsidRPr="00E252AE">
              <w:rPr>
                <w:lang w:val="el-GR"/>
              </w:rPr>
              <w:t>πραττόντων</w:t>
            </w:r>
            <w:r>
              <w:rPr>
                <w:rStyle w:val="Funotenzeichen"/>
                <w:lang w:val="el-GR"/>
              </w:rPr>
              <w:footnoteReference w:id="14"/>
            </w:r>
            <w:r w:rsidRPr="00314523">
              <w:t xml:space="preserve"> </w:t>
            </w:r>
            <w:r w:rsidRPr="00E252AE">
              <w:rPr>
                <w:lang w:val="el-GR"/>
              </w:rPr>
              <w:t>οὕτως</w:t>
            </w:r>
            <w:r w:rsidRPr="00314523">
              <w:t xml:space="preserve"> </w:t>
            </w:r>
            <w:r w:rsidRPr="00E252AE">
              <w:rPr>
                <w:lang w:val="el-GR"/>
              </w:rPr>
              <w:t>διέκειτο</w:t>
            </w:r>
            <w:r>
              <w:rPr>
                <w:rStyle w:val="Funotenzeichen"/>
                <w:lang w:val="el-GR"/>
              </w:rPr>
              <w:footnoteReference w:id="15"/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οὐδ᾽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ἂν</w:t>
            </w:r>
            <w:r w:rsidRPr="00314523">
              <w:t xml:space="preserve"> </w:t>
            </w:r>
            <w:r w:rsidRPr="00E252AE">
              <w:rPr>
                <w:lang w:val="el-GR"/>
              </w:rPr>
              <w:t>ἐλπὶς</w:t>
            </w:r>
            <w:r w:rsidRPr="00314523">
              <w:t xml:space="preserve"> </w:t>
            </w:r>
            <w:r w:rsidRPr="00E252AE">
              <w:rPr>
                <w:lang w:val="el-GR"/>
              </w:rPr>
              <w:t>ἦν</w:t>
            </w:r>
            <w:r w:rsidRPr="00314523">
              <w:t xml:space="preserve"> </w:t>
            </w:r>
            <w:r w:rsidRPr="00E252AE">
              <w:rPr>
                <w:lang w:val="el-GR"/>
              </w:rPr>
              <w:t>αὐτὰ</w:t>
            </w:r>
            <w:r w:rsidRPr="00314523">
              <w:t xml:space="preserve"> </w:t>
            </w:r>
            <w:r w:rsidRPr="00E252AE">
              <w:rPr>
                <w:lang w:val="el-GR"/>
              </w:rPr>
              <w:t>γενέσθαι</w:t>
            </w:r>
            <w:r w:rsidRPr="00314523">
              <w:t xml:space="preserve"> </w:t>
            </w:r>
            <w:r w:rsidRPr="00E252AE">
              <w:rPr>
                <w:lang w:val="el-GR"/>
              </w:rPr>
              <w:t>βελτίω</w:t>
            </w:r>
            <w:r w:rsidRPr="00314523">
              <w:t>.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νῦν</w:t>
            </w:r>
            <w:r w:rsidRPr="00314523">
              <w:t xml:space="preserve"> </w:t>
            </w:r>
            <w:r w:rsidRPr="00E252AE">
              <w:rPr>
                <w:lang w:val="el-GR"/>
              </w:rPr>
              <w:t>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τῆς</w:t>
            </w:r>
            <w:r w:rsidRPr="00314523">
              <w:t xml:space="preserve"> </w:t>
            </w:r>
            <w:r w:rsidRPr="00E252AE">
              <w:rPr>
                <w:lang w:val="el-GR"/>
              </w:rPr>
              <w:t>ῥᾳθυμίας</w:t>
            </w:r>
            <w:r w:rsidRPr="00314523">
              <w:t xml:space="preserve"> </w:t>
            </w:r>
            <w:r w:rsidRPr="00E252AE">
              <w:rPr>
                <w:lang w:val="el-GR"/>
              </w:rPr>
              <w:t>τῆς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ὑμετέρας</w:t>
            </w:r>
            <w:r w:rsidRPr="00314523">
              <w:t xml:space="preserve"> </w:t>
            </w:r>
            <w:r w:rsidRPr="00E252AE">
              <w:rPr>
                <w:lang w:val="el-GR"/>
              </w:rPr>
              <w:t>καὶ</w:t>
            </w:r>
            <w:r w:rsidRPr="00314523">
              <w:t xml:space="preserve"> </w:t>
            </w:r>
            <w:r w:rsidRPr="00E252AE">
              <w:rPr>
                <w:lang w:val="el-GR"/>
              </w:rPr>
              <w:t>τῆς</w:t>
            </w:r>
            <w:r w:rsidRPr="00314523">
              <w:t xml:space="preserve"> </w:t>
            </w:r>
            <w:r w:rsidRPr="00E252AE">
              <w:rPr>
                <w:lang w:val="el-GR"/>
              </w:rPr>
              <w:t>ἀμελίας</w:t>
            </w:r>
            <w:r w:rsidRPr="00314523">
              <w:t xml:space="preserve"> </w:t>
            </w:r>
            <w:r w:rsidRPr="00E252AE">
              <w:rPr>
                <w:lang w:val="el-GR"/>
              </w:rPr>
              <w:t>κεκράτηκε</w:t>
            </w:r>
            <w:r w:rsidRPr="00314523">
              <w:t xml:space="preserve"> </w:t>
            </w:r>
            <w:r w:rsidRPr="00E252AE">
              <w:rPr>
                <w:lang w:val="el-GR"/>
              </w:rPr>
              <w:t>Φίλιππος</w:t>
            </w:r>
            <w:r w:rsidRPr="00314523">
              <w:t>,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τῆς</w:t>
            </w:r>
            <w:r w:rsidRPr="00314523">
              <w:t xml:space="preserve"> </w:t>
            </w:r>
            <w:r w:rsidRPr="00E252AE">
              <w:rPr>
                <w:lang w:val="el-GR"/>
              </w:rPr>
              <w:t>πόλεως</w:t>
            </w:r>
            <w:r w:rsidRPr="00314523">
              <w:t xml:space="preserve"> </w:t>
            </w:r>
            <w:r w:rsidRPr="00E252AE">
              <w:rPr>
                <w:lang w:val="el-GR"/>
              </w:rPr>
              <w:t>δ᾽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οὐ</w:t>
            </w:r>
            <w:r w:rsidRPr="00314523">
              <w:t xml:space="preserve"> </w:t>
            </w:r>
            <w:r w:rsidRPr="00E252AE">
              <w:rPr>
                <w:lang w:val="el-GR"/>
              </w:rPr>
              <w:t>κεκράτηκεν·</w:t>
            </w:r>
            <w:r w:rsidR="00314523" w:rsidRPr="00314523">
              <w:t xml:space="preserve"> </w:t>
            </w:r>
            <w:r w:rsidRPr="00E252AE">
              <w:rPr>
                <w:lang w:val="el-GR"/>
              </w:rPr>
              <w:t>οὐδ᾽</w:t>
            </w:r>
            <w:r w:rsidRPr="00314523">
              <w:t xml:space="preserve"> </w:t>
            </w:r>
            <w:r w:rsidRPr="00E252AE">
              <w:rPr>
                <w:lang w:val="el-GR"/>
              </w:rPr>
              <w:t>ἥττησθ᾽</w:t>
            </w:r>
            <w:r w:rsidRPr="00314523">
              <w:t xml:space="preserve"> </w:t>
            </w:r>
            <w:r w:rsidRPr="00E252AE">
              <w:rPr>
                <w:lang w:val="el-GR"/>
              </w:rPr>
              <w:t>ὑμεῖς</w:t>
            </w:r>
            <w:r w:rsidRPr="00314523">
              <w:t xml:space="preserve">, </w:t>
            </w:r>
            <w:r w:rsidRPr="00E252AE">
              <w:rPr>
                <w:lang w:val="el-GR"/>
              </w:rPr>
              <w:t>ἀλλ᾽</w:t>
            </w:r>
            <w:r w:rsidRPr="00314523">
              <w:t xml:space="preserve"> </w:t>
            </w:r>
            <w:r w:rsidRPr="00E252AE">
              <w:rPr>
                <w:lang w:val="el-GR"/>
              </w:rPr>
              <w:t>οὐδὲ</w:t>
            </w:r>
            <w:r w:rsidRPr="00314523">
              <w:t xml:space="preserve"> </w:t>
            </w:r>
            <w:r w:rsidRPr="00E252AE">
              <w:rPr>
                <w:lang w:val="el-GR"/>
              </w:rPr>
              <w:t>κεκίνησθε</w:t>
            </w:r>
            <w:r w:rsidRPr="00314523">
              <w:t>.</w:t>
            </w:r>
          </w:p>
        </w:tc>
        <w:tc>
          <w:tcPr>
            <w:tcW w:w="8423" w:type="dxa"/>
          </w:tcPr>
          <w:p w14:paraId="133D2431" w14:textId="77777777" w:rsidR="00F441EF" w:rsidRPr="00314523" w:rsidRDefault="00F441EF" w:rsidP="00BA47C7"/>
        </w:tc>
      </w:tr>
      <w:tr w:rsidR="00F441EF" w:rsidRPr="00A507B6" w14:paraId="3D68AE98" w14:textId="2BA2305D" w:rsidTr="00F441EF">
        <w:tc>
          <w:tcPr>
            <w:tcW w:w="7453" w:type="dxa"/>
          </w:tcPr>
          <w:p w14:paraId="03D92B8F" w14:textId="61D4BFA5" w:rsidR="00F441EF" w:rsidRPr="00A507B6" w:rsidRDefault="00F441EF" w:rsidP="00BA47C7">
            <w:pPr>
              <w:rPr>
                <w:lang w:val="el-GR"/>
              </w:rPr>
            </w:pPr>
            <w:r>
              <w:rPr>
                <w:rStyle w:val="Funotenzeichen"/>
              </w:rPr>
              <w:footnoteReference w:id="16"/>
            </w:r>
            <w:r w:rsidRPr="00F441EF">
              <w:rPr>
                <w:lang w:val="el-GR"/>
              </w:rPr>
              <w:t>[6] [</w:t>
            </w:r>
            <w:r w:rsidRPr="00E252AE">
              <w:rPr>
                <w:lang w:val="el-GR"/>
              </w:rPr>
              <w:t>εἰ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μὲν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οὖν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ἅπαντες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ὡμολογοῦμεν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Φίλιππον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τῇ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πόλει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πολεμεῖν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τὴν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εἰρήνην</w:t>
            </w:r>
            <w:r w:rsidRPr="00F441EF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παραβαίνειν</w:t>
            </w:r>
            <w:r w:rsidRPr="00F441EF">
              <w:rPr>
                <w:lang w:val="el-GR"/>
              </w:rPr>
              <w:t>,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οὐδὲν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ἄλλ᾽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ἔδει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τὸν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παριόντα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λέγειν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συμβουλεύειν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ἢ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ὅπως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ἀσφαλέστατα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ῥᾷστ᾽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αὐτὸν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ἀμυνούμεθα·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ἐπειδὴ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δ᾽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οὕτως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ἀτόπως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ἔνιοι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διάκεινται</w:t>
            </w:r>
            <w:r w:rsidRPr="00B407A2">
              <w:rPr>
                <w:lang w:val="el-GR"/>
              </w:rPr>
              <w:t xml:space="preserve">, </w:t>
            </w:r>
            <w:r w:rsidRPr="00E252AE">
              <w:rPr>
                <w:lang w:val="el-GR"/>
              </w:rPr>
              <w:t>ὥστε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πόλεις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καταλαμβάνοντος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ἐκείνου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πολλὰ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τῶν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ὑμετέρων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ἔχοντος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πάντας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ἀνθρώπους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ἀδικοῦντος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ἀνέχεσθαί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τινων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ταῖς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ἐκκλησίαις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λεγόντων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πολλάκις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ὡς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ἡμῶν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τινές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εἰσιν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οἱ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ποιοῦντες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τὸν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πόλεμον</w:t>
            </w:r>
            <w:r w:rsidRPr="00B407A2">
              <w:rPr>
                <w:lang w:val="el-GR"/>
              </w:rPr>
              <w:t xml:space="preserve">, </w:t>
            </w:r>
            <w:r w:rsidRPr="00E252AE">
              <w:rPr>
                <w:lang w:val="el-GR"/>
              </w:rPr>
              <w:t>ἀνάγκη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φυλάττεσθαι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διορθοῦσθαι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περὶ</w:t>
            </w:r>
            <w:r w:rsidRPr="00B407A2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τούτου·</w:t>
            </w:r>
          </w:p>
        </w:tc>
        <w:tc>
          <w:tcPr>
            <w:tcW w:w="8423" w:type="dxa"/>
          </w:tcPr>
          <w:p w14:paraId="08261AFB" w14:textId="77777777" w:rsidR="00F441EF" w:rsidRPr="00F441EF" w:rsidRDefault="00F441EF" w:rsidP="00BA47C7">
            <w:pPr>
              <w:rPr>
                <w:rStyle w:val="Funotenzeichen"/>
                <w:lang w:val="el-GR"/>
              </w:rPr>
            </w:pPr>
          </w:p>
        </w:tc>
      </w:tr>
      <w:tr w:rsidR="00F441EF" w:rsidRPr="00E029A4" w14:paraId="3AF05C13" w14:textId="38E5D5B1" w:rsidTr="00F441EF">
        <w:tc>
          <w:tcPr>
            <w:tcW w:w="7453" w:type="dxa"/>
          </w:tcPr>
          <w:p w14:paraId="3ADFE8BD" w14:textId="48580A1E" w:rsidR="00F441EF" w:rsidRPr="00E029A4" w:rsidRDefault="00F441EF" w:rsidP="00BA47C7">
            <w:pPr>
              <w:rPr>
                <w:lang w:val="el-GR"/>
              </w:rPr>
            </w:pPr>
            <w:r w:rsidRPr="00CC4C05">
              <w:rPr>
                <w:lang w:val="el-GR"/>
              </w:rPr>
              <w:t xml:space="preserve">[7] </w:t>
            </w:r>
            <w:r w:rsidRPr="00E252AE">
              <w:rPr>
                <w:lang w:val="el-GR"/>
              </w:rPr>
              <w:t>ἔστι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γὰρ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δέος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μήποθ᾽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ὡς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ἀμυνούμεθα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γράψας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τις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συμβουλεύσας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εἰς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τὴν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αἰτίαν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ἐμπέσῃ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τοῦ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πεποιηκέναι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τὸν</w:t>
            </w:r>
            <w:r w:rsidRPr="00CC4C05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πόλεμον</w:t>
            </w:r>
            <w:r w:rsidRPr="00CC4C05">
              <w:rPr>
                <w:lang w:val="el-GR"/>
              </w:rPr>
              <w:t>.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ἐγὼ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δὴ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τοῦτο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πρῶτον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ἁπάντων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λέγω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καὶ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διορίζομαι</w:t>
            </w:r>
            <w:r w:rsidRPr="00E029A4">
              <w:rPr>
                <w:lang w:val="el-GR"/>
              </w:rPr>
              <w:t>,</w:t>
            </w:r>
            <w:r w:rsidR="00314523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εἰ</w:t>
            </w:r>
            <w:r>
              <w:rPr>
                <w:rStyle w:val="Funotenzeichen"/>
                <w:lang w:val="el-GR"/>
              </w:rPr>
              <w:footnoteReference w:id="17"/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ἐφ᾽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ἡμῖν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ἐστι</w:t>
            </w:r>
            <w:r>
              <w:rPr>
                <w:rStyle w:val="Funotenzeichen"/>
                <w:lang w:val="el-GR"/>
              </w:rPr>
              <w:footnoteReference w:id="18"/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τὸ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βουλεύεσθαι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περὶ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τοῦ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πότερον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εἰρήνην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ἄγειν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ἢ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πολεμεῖν</w:t>
            </w:r>
            <w:r w:rsidRPr="00E029A4">
              <w:rPr>
                <w:lang w:val="el-GR"/>
              </w:rPr>
              <w:t xml:space="preserve"> </w:t>
            </w:r>
            <w:r w:rsidRPr="00E252AE">
              <w:rPr>
                <w:lang w:val="el-GR"/>
              </w:rPr>
              <w:t>δεῖ</w:t>
            </w:r>
            <w:r w:rsidRPr="00E029A4">
              <w:rPr>
                <w:lang w:val="el-GR"/>
              </w:rPr>
              <w:t xml:space="preserve"> ... .]</w:t>
            </w:r>
          </w:p>
        </w:tc>
        <w:tc>
          <w:tcPr>
            <w:tcW w:w="8423" w:type="dxa"/>
          </w:tcPr>
          <w:p w14:paraId="6443BE37" w14:textId="77777777" w:rsidR="00F441EF" w:rsidRPr="00CC4C05" w:rsidRDefault="00F441EF" w:rsidP="00BA47C7">
            <w:pPr>
              <w:rPr>
                <w:lang w:val="el-GR"/>
              </w:rPr>
            </w:pPr>
          </w:p>
        </w:tc>
      </w:tr>
      <w:tr w:rsidR="00F441EF" w:rsidRPr="000B6051" w14:paraId="74740364" w14:textId="15E538CC" w:rsidTr="00F441EF">
        <w:tc>
          <w:tcPr>
            <w:tcW w:w="7453" w:type="dxa"/>
          </w:tcPr>
          <w:p w14:paraId="5BC37533" w14:textId="1A395465" w:rsidR="00F441EF" w:rsidRPr="000B6051" w:rsidRDefault="00F441EF" w:rsidP="00BA47C7">
            <w:pPr>
              <w:rPr>
                <w:lang w:val="el-GR"/>
              </w:rPr>
            </w:pPr>
            <w:r w:rsidRPr="00F441EF">
              <w:rPr>
                <w:lang w:val="el-GR"/>
              </w:rPr>
              <w:t xml:space="preserve">[8] </w:t>
            </w:r>
            <w:r w:rsidRPr="00AF3D9E">
              <w:rPr>
                <w:lang w:val="el-GR"/>
              </w:rPr>
              <w:t>εἰ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μὲν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οὖν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ἔξεστιν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εἰρήνην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ἄγειν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τῇ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πόλει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καὶ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ἐφ᾽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ἡμῖν</w:t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ἐστι</w:t>
            </w:r>
            <w:r>
              <w:rPr>
                <w:rStyle w:val="Funotenzeichen"/>
                <w:lang w:val="el-GR"/>
              </w:rPr>
              <w:footnoteReference w:id="19"/>
            </w:r>
            <w:r w:rsidRPr="00F441EF">
              <w:rPr>
                <w:lang w:val="el-GR"/>
              </w:rPr>
              <w:t xml:space="preserve"> </w:t>
            </w:r>
            <w:r w:rsidRPr="00AF3D9E">
              <w:rPr>
                <w:lang w:val="el-GR"/>
              </w:rPr>
              <w:t>τοῦτο</w:t>
            </w:r>
            <w:r w:rsidRPr="00F441EF">
              <w:rPr>
                <w:lang w:val="el-GR"/>
              </w:rPr>
              <w:t>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ἵν᾽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ἐντεῦθεν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ἄρξωμαι</w:t>
            </w:r>
            <w:r w:rsidRPr="00F441EF">
              <w:rPr>
                <w:lang w:val="el-GR"/>
              </w:rPr>
              <w:t xml:space="preserve">, </w:t>
            </w:r>
            <w:r w:rsidRPr="000B6051">
              <w:rPr>
                <w:lang w:val="el-GR"/>
              </w:rPr>
              <w:t>φήμ᾽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ἔγωγ᾽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ἄγειν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ἡμᾶς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δεῖν</w:t>
            </w:r>
            <w:r w:rsidRPr="00F441EF">
              <w:rPr>
                <w:lang w:val="el-GR"/>
              </w:rPr>
              <w:t>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καὶ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τὸν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ταῦτα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λέγοντα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γράφειν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καὶ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πράττειν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καὶ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μὴ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φενακίζειν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ἀξιῶ·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εἰ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δ᾽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ἕτερος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τὰ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ὅπλ᾽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ἐν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ταῖς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χερσὶν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ἔχων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καὶ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δύναμιν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πολλὴν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περὶ</w:t>
            </w:r>
            <w:r w:rsidRPr="00F441EF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αὑτὸν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τοὔνομα</w:t>
            </w:r>
            <w:r w:rsidRPr="00EA5F60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μὲν</w:t>
            </w:r>
            <w:r w:rsidRPr="00EA5F60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τὸ</w:t>
            </w:r>
            <w:r w:rsidRPr="00EA5F60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τῆς</w:t>
            </w:r>
            <w:r w:rsidRPr="00EA5F60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εἰρήνης</w:t>
            </w:r>
            <w:r w:rsidRPr="00EA5F60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ὑμῖν</w:t>
            </w:r>
            <w:r w:rsidRPr="00EA5F60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προβάλλει</w:t>
            </w:r>
            <w:r w:rsidRPr="00EA5F60">
              <w:rPr>
                <w:lang w:val="el-GR"/>
              </w:rPr>
              <w:t>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τοῖς</w:t>
            </w:r>
            <w:r w:rsidRPr="009D6998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δ᾽</w:t>
            </w:r>
            <w:r w:rsidRPr="009D6998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lastRenderedPageBreak/>
              <w:t>ἔργοις</w:t>
            </w:r>
            <w:r w:rsidRPr="009D6998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αὐτὸς</w:t>
            </w:r>
            <w:r w:rsidRPr="009D6998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τοῖς</w:t>
            </w:r>
            <w:r w:rsidRPr="009D6998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τοῦ</w:t>
            </w:r>
            <w:r w:rsidRPr="009D6998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πολέμου</w:t>
            </w:r>
            <w:r w:rsidRPr="009D6998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χρῆται</w:t>
            </w:r>
            <w:r w:rsidRPr="009D6998">
              <w:rPr>
                <w:lang w:val="el-GR"/>
              </w:rPr>
              <w:t>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τί λοιπὸν ἄλλο πλὴν ἀμύνεσθαι;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φάσκειν δ᾽ εἰρήνην ἄγειν</w:t>
            </w:r>
            <w:r>
              <w:rPr>
                <w:rStyle w:val="Funotenzeichen"/>
                <w:lang w:val="el-GR"/>
              </w:rPr>
              <w:footnoteReference w:id="20"/>
            </w:r>
            <w:r w:rsidRPr="000B6051">
              <w:rPr>
                <w:lang w:val="el-GR"/>
              </w:rPr>
              <w:t xml:space="preserve"> εἰ βούλεσθε, ὥσπερ ἐκεῖνος, οὐ διαφέρομαι.</w:t>
            </w:r>
          </w:p>
        </w:tc>
        <w:tc>
          <w:tcPr>
            <w:tcW w:w="8423" w:type="dxa"/>
          </w:tcPr>
          <w:p w14:paraId="15C0A468" w14:textId="77777777" w:rsidR="00F441EF" w:rsidRPr="00F441EF" w:rsidRDefault="00F441EF" w:rsidP="00BA47C7">
            <w:pPr>
              <w:rPr>
                <w:lang w:val="el-GR"/>
              </w:rPr>
            </w:pPr>
          </w:p>
        </w:tc>
      </w:tr>
      <w:tr w:rsidR="00F441EF" w:rsidRPr="000B6051" w14:paraId="39FDE36C" w14:textId="1A6FE966" w:rsidTr="00F441EF">
        <w:tc>
          <w:tcPr>
            <w:tcW w:w="7453" w:type="dxa"/>
          </w:tcPr>
          <w:p w14:paraId="0ECF18FA" w14:textId="7B833DA7" w:rsidR="00F441EF" w:rsidRPr="000B6051" w:rsidRDefault="00F441EF" w:rsidP="00BA47C7">
            <w:pPr>
              <w:rPr>
                <w:lang w:val="el-GR"/>
              </w:rPr>
            </w:pPr>
            <w:r w:rsidRPr="000B6051">
              <w:rPr>
                <w:lang w:val="el-GR"/>
              </w:rPr>
              <w:t>[9] εἰ δέ τις ταύτην εἰρήνην</w:t>
            </w:r>
            <w:r>
              <w:rPr>
                <w:rStyle w:val="Funotenzeichen"/>
                <w:lang w:val="el-GR"/>
              </w:rPr>
              <w:footnoteReference w:id="21"/>
            </w:r>
            <w:r w:rsidRPr="000B6051">
              <w:rPr>
                <w:lang w:val="el-GR"/>
              </w:rPr>
              <w:t xml:space="preserve"> ὑπολαμβάνει,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ἐξ ἧς ἐκεῖνος πάντα τἄλλα λαβὼν ἐφ᾽ ἡμᾶς ἥξει,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πρῶτον μὲν μαίνεται,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ἔπειτ᾽ ἐκείνῳ παρ᾽ ὑμῶν, οὐχ ὑμῖν παρ᾽ ἐκείνου τὴν εἰρήνην λέγει·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τοῦτο δ᾽ ἐστὶν ὃ τῶν ἀναλισκομένων χρημάτων πάντων Φίλιππος ὠνεῖται,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αὐτὸς μὲν πολεμεῖν ὑμῖν, ὑφ᾽ ὑμῶν δὲ μὴ πολεμεῖσθαι.</w:t>
            </w:r>
          </w:p>
        </w:tc>
        <w:tc>
          <w:tcPr>
            <w:tcW w:w="8423" w:type="dxa"/>
          </w:tcPr>
          <w:p w14:paraId="5259A9B2" w14:textId="77777777" w:rsidR="00F441EF" w:rsidRPr="000B6051" w:rsidRDefault="00F441EF" w:rsidP="00BA47C7">
            <w:pPr>
              <w:rPr>
                <w:lang w:val="el-GR"/>
              </w:rPr>
            </w:pPr>
          </w:p>
        </w:tc>
      </w:tr>
      <w:tr w:rsidR="00F441EF" w:rsidRPr="000B6051" w14:paraId="593C30F6" w14:textId="54D001FB" w:rsidTr="00F441EF">
        <w:tc>
          <w:tcPr>
            <w:tcW w:w="7453" w:type="dxa"/>
          </w:tcPr>
          <w:p w14:paraId="11934148" w14:textId="4B2E0ACD" w:rsidR="00F441EF" w:rsidRPr="000B6051" w:rsidRDefault="00F441EF" w:rsidP="00BA47C7">
            <w:pPr>
              <w:rPr>
                <w:lang w:val="el-GR"/>
              </w:rPr>
            </w:pPr>
            <w:r w:rsidRPr="000B6051">
              <w:rPr>
                <w:lang w:val="el-GR"/>
              </w:rPr>
              <w:t>[10] καὶ μὴν εἰ μέχρι τούτου περιμενοῦμεν, ἕως ἂν ἡμῖν ὁμολογήσῃ πολεμεῖν,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πάντων ἐσμὲν εὐηθέστατοι·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οὐδὲ γὰρ ἂν ἐπὶ τὴν Ἀττικὴν αὐτὴν βαδίζῃ καὶ τὸν Πειραιᾶ, τοῦτ᾽ ἐρεῖ,</w:t>
            </w:r>
            <w:r w:rsidR="00314523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εἴπερ οἷς πρὸς τοὺς ἄλλους πεποίηκε δεῖ τεκμαίρεσθαι.</w:t>
            </w:r>
          </w:p>
        </w:tc>
        <w:tc>
          <w:tcPr>
            <w:tcW w:w="8423" w:type="dxa"/>
          </w:tcPr>
          <w:p w14:paraId="4AE8DEBD" w14:textId="77777777" w:rsidR="00F441EF" w:rsidRPr="000B6051" w:rsidRDefault="00F441EF" w:rsidP="00BA47C7">
            <w:pPr>
              <w:rPr>
                <w:lang w:val="el-GR"/>
              </w:rPr>
            </w:pPr>
          </w:p>
        </w:tc>
      </w:tr>
    </w:tbl>
    <w:p w14:paraId="293B5E28" w14:textId="0E77033A" w:rsidR="005F72D6" w:rsidRPr="00F441EF" w:rsidRDefault="00000000" w:rsidP="00F441EF">
      <w:pPr>
        <w:rPr>
          <w:lang w:val="el-GR"/>
        </w:rPr>
      </w:pPr>
    </w:p>
    <w:sectPr w:rsidR="005F72D6" w:rsidRPr="00F441EF" w:rsidSect="00314523"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2A54" w14:textId="77777777" w:rsidR="00557A88" w:rsidRDefault="00557A88" w:rsidP="00F441EF">
      <w:pPr>
        <w:spacing w:after="0" w:line="240" w:lineRule="auto"/>
      </w:pPr>
      <w:r>
        <w:separator/>
      </w:r>
    </w:p>
  </w:endnote>
  <w:endnote w:type="continuationSeparator" w:id="0">
    <w:p w14:paraId="5D2B91AF" w14:textId="77777777" w:rsidR="00557A88" w:rsidRDefault="00557A88" w:rsidP="00F4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er">
    <w:panose1 w:val="02020602090805090A03"/>
    <w:charset w:val="00"/>
    <w:family w:val="roman"/>
    <w:pitch w:val="variable"/>
    <w:sig w:usb0="E00002FF" w:usb1="4200F8FB" w:usb2="0D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0541" w14:textId="77777777" w:rsidR="00557A88" w:rsidRDefault="00557A88" w:rsidP="00F441EF">
      <w:pPr>
        <w:spacing w:after="0" w:line="240" w:lineRule="auto"/>
      </w:pPr>
      <w:r>
        <w:separator/>
      </w:r>
    </w:p>
  </w:footnote>
  <w:footnote w:type="continuationSeparator" w:id="0">
    <w:p w14:paraId="3F884A71" w14:textId="77777777" w:rsidR="00557A88" w:rsidRDefault="00557A88" w:rsidP="00F441EF">
      <w:pPr>
        <w:spacing w:after="0" w:line="240" w:lineRule="auto"/>
      </w:pPr>
      <w:r>
        <w:continuationSeparator/>
      </w:r>
    </w:p>
  </w:footnote>
  <w:footnote w:id="1">
    <w:p w14:paraId="752F23FB" w14:textId="77777777" w:rsidR="00F441EF" w:rsidRPr="00226058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52AE">
        <w:rPr>
          <w:lang w:val="el-GR"/>
        </w:rPr>
        <w:t>οἶδ᾽</w:t>
      </w:r>
      <w:r w:rsidRPr="00E252AE">
        <w:t xml:space="preserve"> </w:t>
      </w:r>
      <w:r w:rsidRPr="00E252AE">
        <w:rPr>
          <w:lang w:val="el-GR"/>
        </w:rPr>
        <w:t>ὅτι</w:t>
      </w:r>
      <w:r>
        <w:t xml:space="preserve"> verkürzter parenthtischer Einschub wie oft bei Demosthenes: „wie ich weiß“</w:t>
      </w:r>
    </w:p>
  </w:footnote>
  <w:footnote w:id="2">
    <w:p w14:paraId="2C84537D" w14:textId="77777777" w:rsidR="00F441EF" w:rsidRPr="00B13A17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52AE">
        <w:rPr>
          <w:lang w:val="el-GR"/>
        </w:rPr>
        <w:t>ἄν</w:t>
      </w:r>
      <w:r>
        <w:t xml:space="preserve"> potentiale Färbung des GA</w:t>
      </w:r>
    </w:p>
  </w:footnote>
  <w:footnote w:id="3">
    <w:p w14:paraId="6B83AD43" w14:textId="77777777" w:rsidR="00F441EF" w:rsidRPr="00B13A17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52AE">
        <w:rPr>
          <w:lang w:val="el-GR"/>
        </w:rPr>
        <w:t>εἰ</w:t>
      </w:r>
      <w:r w:rsidRPr="00E252AE">
        <w:t xml:space="preserve"> </w:t>
      </w:r>
      <w:r w:rsidRPr="00E252AE">
        <w:rPr>
          <w:lang w:val="el-GR"/>
        </w:rPr>
        <w:t>καὶ</w:t>
      </w:r>
      <w:r>
        <w:t xml:space="preserve"> </w:t>
      </w:r>
      <w:r>
        <w:rPr>
          <w:lang w:val="el-GR"/>
        </w:rPr>
        <w:t>μή</w:t>
      </w:r>
      <w:r>
        <w:t xml:space="preserve"> konzessiv „wenn sie es auch nicht = auch wenn sie es nicht“</w:t>
      </w:r>
    </w:p>
  </w:footnote>
  <w:footnote w:id="4">
    <w:p w14:paraId="359ACECA" w14:textId="77777777" w:rsidR="00F441EF" w:rsidRPr="00B13A17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52AE">
        <w:rPr>
          <w:lang w:val="el-GR"/>
        </w:rPr>
        <w:t>χειροτονεῖν</w:t>
      </w:r>
      <w:r w:rsidRPr="00B13A17">
        <w:t xml:space="preserve"> </w:t>
      </w:r>
      <w:r w:rsidRPr="00E252AE">
        <w:rPr>
          <w:lang w:val="el-GR"/>
        </w:rPr>
        <w:t>ὑμεῖς</w:t>
      </w:r>
      <w:r>
        <w:t xml:space="preserve"> erg. </w:t>
      </w:r>
      <w:r>
        <w:rPr>
          <w:lang w:val="el-GR"/>
        </w:rPr>
        <w:t>ἐβούλεσθε</w:t>
      </w:r>
    </w:p>
  </w:footnote>
  <w:footnote w:id="5">
    <w:p w14:paraId="0EFBE125" w14:textId="77777777" w:rsidR="00F441EF" w:rsidRPr="00D13AA5" w:rsidRDefault="00F441EF" w:rsidP="00F441EF">
      <w:pPr>
        <w:pStyle w:val="Funotentext"/>
      </w:pPr>
      <w:r>
        <w:rPr>
          <w:rStyle w:val="Funotenzeichen"/>
        </w:rPr>
        <w:footnoteRef/>
      </w:r>
      <w:r w:rsidRPr="00D13AA5">
        <w:t xml:space="preserve"> </w:t>
      </w:r>
      <w:r w:rsidRPr="00E252AE">
        <w:rPr>
          <w:lang w:val="el-GR"/>
        </w:rPr>
        <w:t>παρ᾽</w:t>
      </w:r>
      <w:r w:rsidRPr="00D13AA5">
        <w:t xml:space="preserve"> </w:t>
      </w:r>
      <w:r w:rsidRPr="00E252AE">
        <w:rPr>
          <w:lang w:val="el-GR"/>
        </w:rPr>
        <w:t>ἓν</w:t>
      </w:r>
      <w:r w:rsidRPr="00D13AA5">
        <w:t xml:space="preserve"> </w:t>
      </w:r>
      <w:r>
        <w:t>erg</w:t>
      </w:r>
      <w:r w:rsidRPr="00D13AA5">
        <w:t xml:space="preserve">. </w:t>
      </w:r>
      <w:r>
        <w:rPr>
          <w:lang w:val="el-GR"/>
        </w:rPr>
        <w:t>αἴτιον</w:t>
      </w:r>
    </w:p>
  </w:footnote>
  <w:footnote w:id="6">
    <w:p w14:paraId="6FF90009" w14:textId="77777777" w:rsidR="00F441EF" w:rsidRPr="00B7528D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διά</w:t>
      </w:r>
      <w:r w:rsidRPr="00B7528D">
        <w:t xml:space="preserve"> </w:t>
      </w:r>
      <w:r>
        <w:t xml:space="preserve">parallel zum voranstehenden </w:t>
      </w:r>
      <w:r>
        <w:rPr>
          <w:lang w:val="el-GR"/>
        </w:rPr>
        <w:t>παρά</w:t>
      </w:r>
      <w:r w:rsidRPr="00B7528D">
        <w:t xml:space="preserve"> </w:t>
      </w:r>
    </w:p>
  </w:footnote>
  <w:footnote w:id="7">
    <w:p w14:paraId="3E8350EE" w14:textId="77777777" w:rsidR="00F441EF" w:rsidRPr="00563302" w:rsidRDefault="00F441EF" w:rsidP="00F441EF">
      <w:pPr>
        <w:pStyle w:val="Funotentext"/>
      </w:pPr>
      <w:r>
        <w:rPr>
          <w:rStyle w:val="Funotenzeichen"/>
        </w:rPr>
        <w:footnoteRef/>
      </w:r>
      <w:r w:rsidRPr="00563302">
        <w:t xml:space="preserve"> </w:t>
      </w:r>
      <w:r w:rsidRPr="00E252AE">
        <w:rPr>
          <w:lang w:val="el-GR"/>
        </w:rPr>
        <w:t>ἐν</w:t>
      </w:r>
      <w:r w:rsidRPr="00563302">
        <w:t xml:space="preserve"> </w:t>
      </w:r>
      <w:r w:rsidRPr="00E252AE">
        <w:rPr>
          <w:lang w:val="el-GR"/>
        </w:rPr>
        <w:t>οἷς</w:t>
      </w:r>
      <w:r w:rsidRPr="00563302">
        <w:t xml:space="preserve"> … </w:t>
      </w:r>
      <w:r>
        <w:rPr>
          <w:lang w:val="el-GR"/>
        </w:rPr>
        <w:t>ταῦτα</w:t>
      </w:r>
      <w:r w:rsidRPr="00563302">
        <w:t xml:space="preserve"> lies: </w:t>
      </w:r>
      <w:r>
        <w:rPr>
          <w:lang w:val="el-GR"/>
        </w:rPr>
        <w:t>ταῦτα</w:t>
      </w:r>
      <w:r w:rsidRPr="00563302">
        <w:t xml:space="preserve"> </w:t>
      </w:r>
      <w:r w:rsidRPr="00E252AE">
        <w:rPr>
          <w:lang w:val="el-GR"/>
        </w:rPr>
        <w:t>ἐν</w:t>
      </w:r>
      <w:r w:rsidRPr="00563302">
        <w:t xml:space="preserve"> </w:t>
      </w:r>
      <w:r w:rsidRPr="00E252AE">
        <w:rPr>
          <w:lang w:val="el-GR"/>
        </w:rPr>
        <w:t>οἷς</w:t>
      </w:r>
      <w:r w:rsidRPr="00563302">
        <w:t xml:space="preserve"> ...</w:t>
      </w:r>
    </w:p>
  </w:footnote>
  <w:footnote w:id="8">
    <w:p w14:paraId="4EC49772" w14:textId="77777777" w:rsidR="00F441EF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[…] Diese Rede ist in einer Lang- und einer Grundfassung überliefert, evt. von Demosthenes überarbeitet, oder mit Ergänzungen von anderen. </w:t>
      </w:r>
    </w:p>
  </w:footnote>
  <w:footnote w:id="9">
    <w:p w14:paraId="66F2DA36" w14:textId="77777777" w:rsidR="00F441EF" w:rsidRPr="00B7528D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ἔχειν</w:t>
      </w:r>
      <w:r w:rsidRPr="00B7528D">
        <w:t xml:space="preserve"> </w:t>
      </w:r>
      <w:r>
        <w:t xml:space="preserve">erg. </w:t>
      </w:r>
      <w:r>
        <w:rPr>
          <w:lang w:val="el-GR"/>
        </w:rPr>
        <w:t>πρόνοιαν</w:t>
      </w:r>
    </w:p>
  </w:footnote>
  <w:footnote w:id="10">
    <w:p w14:paraId="0DAA35BE" w14:textId="77777777" w:rsidR="00F441EF" w:rsidRPr="007A14B9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52AE">
        <w:rPr>
          <w:lang w:val="el-GR"/>
        </w:rPr>
        <w:t>ἐξεληλάκατε</w:t>
      </w:r>
      <w:r>
        <w:t xml:space="preserve"> erg. </w:t>
      </w:r>
      <w:r w:rsidRPr="00E252AE">
        <w:rPr>
          <w:lang w:val="el-GR"/>
        </w:rPr>
        <w:t>τὴν</w:t>
      </w:r>
      <w:r w:rsidRPr="00AF3D9E">
        <w:t xml:space="preserve"> </w:t>
      </w:r>
      <w:r w:rsidRPr="00E252AE">
        <w:rPr>
          <w:lang w:val="el-GR"/>
        </w:rPr>
        <w:t>παρρησίαν</w:t>
      </w:r>
    </w:p>
  </w:footnote>
  <w:footnote w:id="11">
    <w:p w14:paraId="55DC719F" w14:textId="77777777" w:rsidR="00F441EF" w:rsidRPr="00CC1FC9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εἵτα</w:t>
      </w:r>
      <w:r w:rsidRPr="00CC1FC9">
        <w:t xml:space="preserve"> </w:t>
      </w:r>
      <w:r>
        <w:t>„da, und so“</w:t>
      </w:r>
    </w:p>
  </w:footnote>
  <w:footnote w:id="12">
    <w:p w14:paraId="04FFB210" w14:textId="77777777" w:rsidR="00F441EF" w:rsidRPr="00057136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52AE">
        <w:rPr>
          <w:lang w:val="el-GR"/>
        </w:rPr>
        <w:t>ἕτοιμος</w:t>
      </w:r>
      <w:r w:rsidRPr="00057136">
        <w:t xml:space="preserve"> </w:t>
      </w:r>
      <w:r w:rsidRPr="00E252AE">
        <w:rPr>
          <w:lang w:val="el-GR"/>
        </w:rPr>
        <w:t>λέγειν</w:t>
      </w:r>
      <w:r>
        <w:t xml:space="preserve"> erg. </w:t>
      </w:r>
      <w:r>
        <w:rPr>
          <w:lang w:val="el-GR"/>
        </w:rPr>
        <w:t>εἰμί</w:t>
      </w:r>
    </w:p>
  </w:footnote>
  <w:footnote w:id="13">
    <w:p w14:paraId="605EC65C" w14:textId="77777777" w:rsidR="00F441EF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ὅτι</w:t>
      </w:r>
      <w:r w:rsidRPr="00F1549B">
        <w:t xml:space="preserve"> </w:t>
      </w:r>
      <w:r>
        <w:t>kennzeichnet die folgende Antwort wie eine direkte Rede</w:t>
      </w:r>
    </w:p>
  </w:footnote>
  <w:footnote w:id="14">
    <w:p w14:paraId="2EEC9A41" w14:textId="77777777" w:rsidR="00F441EF" w:rsidRPr="00AF3D9E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πραττόντων</w:t>
      </w:r>
      <w:r w:rsidRPr="00AF3D9E">
        <w:t xml:space="preserve"> </w:t>
      </w:r>
      <w:r>
        <w:t xml:space="preserve">erg. </w:t>
      </w:r>
      <w:r>
        <w:rPr>
          <w:lang w:val="el-GR"/>
        </w:rPr>
        <w:t>ὑμῶν</w:t>
      </w:r>
      <w:r w:rsidRPr="00AF3D9E">
        <w:t xml:space="preserve"> </w:t>
      </w:r>
    </w:p>
  </w:footnote>
  <w:footnote w:id="15">
    <w:p w14:paraId="45E6797E" w14:textId="77777777" w:rsidR="00F441EF" w:rsidRPr="00AF3D9E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52AE">
        <w:rPr>
          <w:lang w:val="el-GR"/>
        </w:rPr>
        <w:t>διέκειτο</w:t>
      </w:r>
      <w:r>
        <w:t xml:space="preserve"> erg. </w:t>
      </w:r>
      <w:r>
        <w:rPr>
          <w:lang w:val="el-GR"/>
        </w:rPr>
        <w:t>τὰ</w:t>
      </w:r>
      <w:r w:rsidRPr="00AF3D9E">
        <w:t xml:space="preserve"> </w:t>
      </w:r>
      <w:r>
        <w:rPr>
          <w:lang w:val="el-GR"/>
        </w:rPr>
        <w:t>πράγματα</w:t>
      </w:r>
    </w:p>
  </w:footnote>
  <w:footnote w:id="16">
    <w:p w14:paraId="35CFB45C" w14:textId="77777777" w:rsidR="00F441EF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[…] Diese längere, aber entbehrliche Passage ist auch stilistisch unbeholfen; Demosthenes?</w:t>
      </w:r>
    </w:p>
  </w:footnote>
  <w:footnote w:id="17">
    <w:p w14:paraId="7C47023D" w14:textId="77777777" w:rsidR="00F441EF" w:rsidRPr="008C1E49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εἰ</w:t>
      </w:r>
      <w:r w:rsidRPr="00AF3D9E">
        <w:t xml:space="preserve"> </w:t>
      </w:r>
      <w:r>
        <w:t>„ob“</w:t>
      </w:r>
    </w:p>
  </w:footnote>
  <w:footnote w:id="18">
    <w:p w14:paraId="4B2DCFAD" w14:textId="77777777" w:rsidR="00F441EF" w:rsidRPr="00B64152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F3D9E">
        <w:rPr>
          <w:lang w:val="el-GR"/>
        </w:rPr>
        <w:t>ἐφ᾽</w:t>
      </w:r>
      <w:r w:rsidRPr="00B7531C">
        <w:t xml:space="preserve"> </w:t>
      </w:r>
      <w:r w:rsidRPr="00AF3D9E">
        <w:rPr>
          <w:lang w:val="el-GR"/>
        </w:rPr>
        <w:t>ἡμῖν</w:t>
      </w:r>
      <w:r w:rsidRPr="00B7531C">
        <w:t xml:space="preserve"> </w:t>
      </w:r>
      <w:r>
        <w:rPr>
          <w:lang w:val="el-GR"/>
        </w:rPr>
        <w:t>ἐστι</w:t>
      </w:r>
      <w:r w:rsidRPr="00B64152">
        <w:t xml:space="preserve"> = </w:t>
      </w:r>
      <w:r w:rsidRPr="00AF3D9E">
        <w:rPr>
          <w:lang w:val="el-GR"/>
        </w:rPr>
        <w:t>ἐφ᾽</w:t>
      </w:r>
      <w:r w:rsidRPr="00B7531C">
        <w:t xml:space="preserve"> </w:t>
      </w:r>
      <w:r w:rsidRPr="00AF3D9E">
        <w:rPr>
          <w:lang w:val="el-GR"/>
        </w:rPr>
        <w:t>ἡμῖν</w:t>
      </w:r>
      <w:r w:rsidRPr="00B7531C">
        <w:t xml:space="preserve"> </w:t>
      </w:r>
      <w:r>
        <w:rPr>
          <w:lang w:val="el-GR"/>
        </w:rPr>
        <w:t>ἔξεστι</w:t>
      </w:r>
      <w:r w:rsidRPr="00B64152">
        <w:t xml:space="preserve"> </w:t>
      </w:r>
      <w:r>
        <w:t>„es ist bei uns möglich“</w:t>
      </w:r>
    </w:p>
  </w:footnote>
  <w:footnote w:id="19">
    <w:p w14:paraId="378500E1" w14:textId="77777777" w:rsidR="00F441EF" w:rsidRPr="00B7531C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F3D9E">
        <w:rPr>
          <w:lang w:val="el-GR"/>
        </w:rPr>
        <w:t>ἐφ᾽</w:t>
      </w:r>
      <w:r w:rsidRPr="00B7531C">
        <w:t xml:space="preserve"> </w:t>
      </w:r>
      <w:r w:rsidRPr="00AF3D9E">
        <w:rPr>
          <w:lang w:val="el-GR"/>
        </w:rPr>
        <w:t>ἡμῖν</w:t>
      </w:r>
      <w:r w:rsidRPr="00B7531C">
        <w:t xml:space="preserve"> </w:t>
      </w:r>
      <w:r w:rsidRPr="00AF3D9E">
        <w:rPr>
          <w:lang w:val="el-GR"/>
        </w:rPr>
        <w:t>ἐστι</w:t>
      </w:r>
      <w:r>
        <w:t xml:space="preserve"> „liegt bei uns = liegt in unserer Macht“</w:t>
      </w:r>
    </w:p>
  </w:footnote>
  <w:footnote w:id="20">
    <w:p w14:paraId="047F9A33" w14:textId="3785A1F8" w:rsidR="00F441EF" w:rsidRPr="00432794" w:rsidRDefault="00F441EF" w:rsidP="00F441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φάσκειν</w:t>
      </w:r>
      <w:r w:rsidRPr="00432794">
        <w:t xml:space="preserve"> </w:t>
      </w:r>
      <w:r w:rsidRPr="000B6051">
        <w:rPr>
          <w:lang w:val="el-GR"/>
        </w:rPr>
        <w:t>δ᾽</w:t>
      </w:r>
      <w:r w:rsidRPr="00432794">
        <w:t xml:space="preserve"> </w:t>
      </w:r>
      <w:r w:rsidRPr="000B6051">
        <w:rPr>
          <w:lang w:val="el-GR"/>
        </w:rPr>
        <w:t>εἰρήνην</w:t>
      </w:r>
      <w:r w:rsidRPr="00432794">
        <w:t xml:space="preserve"> </w:t>
      </w:r>
      <w:r w:rsidRPr="000B6051">
        <w:rPr>
          <w:lang w:val="el-GR"/>
        </w:rPr>
        <w:t>ἄγειν</w:t>
      </w:r>
      <w:r w:rsidRPr="00432794">
        <w:t xml:space="preserve"> </w:t>
      </w:r>
      <w:r>
        <w:t xml:space="preserve">gehört in den </w:t>
      </w:r>
      <w:r>
        <w:rPr>
          <w:lang w:val="el-GR"/>
        </w:rPr>
        <w:t>εἰ</w:t>
      </w:r>
      <w:r>
        <w:t xml:space="preserve">-Satz, ist heraus- und </w:t>
      </w:r>
      <w:r w:rsidR="00314523">
        <w:t xml:space="preserve">also </w:t>
      </w:r>
      <w:r>
        <w:t>vorangezogen</w:t>
      </w:r>
    </w:p>
  </w:footnote>
  <w:footnote w:id="21">
    <w:p w14:paraId="2E4B3D91" w14:textId="77777777" w:rsidR="00F441EF" w:rsidRPr="00CF1A6D" w:rsidRDefault="00F441EF" w:rsidP="00F441EF">
      <w:pPr>
        <w:pStyle w:val="Funotentext"/>
      </w:pPr>
      <w:r>
        <w:rPr>
          <w:rStyle w:val="Funotenzeichen"/>
        </w:rPr>
        <w:footnoteRef/>
      </w:r>
      <w:r w:rsidRPr="007F3CDF">
        <w:t xml:space="preserve"> </w:t>
      </w:r>
      <w:r w:rsidRPr="000B6051">
        <w:rPr>
          <w:lang w:val="el-GR"/>
        </w:rPr>
        <w:t>ταύτην</w:t>
      </w:r>
      <w:r w:rsidRPr="007F3CDF">
        <w:t xml:space="preserve"> </w:t>
      </w:r>
      <w:r w:rsidRPr="000B6051">
        <w:rPr>
          <w:lang w:val="el-GR"/>
        </w:rPr>
        <w:t>εἰρήνην</w:t>
      </w:r>
      <w:r w:rsidRPr="007F3CDF">
        <w:t xml:space="preserve"> </w:t>
      </w:r>
      <w:r w:rsidRPr="007F3CDF">
        <w:rPr>
          <w:rFonts w:ascii="Alexander" w:hAnsi="Alexander"/>
        </w:rPr>
        <w:t xml:space="preserve">≠ </w:t>
      </w:r>
      <w:r w:rsidRPr="000B6051">
        <w:rPr>
          <w:lang w:val="el-GR"/>
        </w:rPr>
        <w:t>ταύτην</w:t>
      </w:r>
      <w:r w:rsidRPr="007F3CDF">
        <w:t xml:space="preserve"> </w:t>
      </w:r>
      <w:r>
        <w:rPr>
          <w:lang w:val="el-GR"/>
        </w:rPr>
        <w:t>τὴν</w:t>
      </w:r>
      <w:r w:rsidRPr="007F3CDF">
        <w:t xml:space="preserve"> </w:t>
      </w:r>
      <w:r w:rsidRPr="000B6051">
        <w:rPr>
          <w:lang w:val="el-GR"/>
        </w:rPr>
        <w:t>εἰρήνην</w:t>
      </w:r>
      <w:r w:rsidRPr="007F3CDF">
        <w:t xml:space="preserve">, </w:t>
      </w:r>
      <w:r>
        <w:t xml:space="preserve">sondern </w:t>
      </w:r>
      <w:r w:rsidRPr="000B6051">
        <w:rPr>
          <w:lang w:val="el-GR"/>
        </w:rPr>
        <w:t>εἰρήνην</w:t>
      </w:r>
      <w:r>
        <w:t xml:space="preserve"> = Prädikativum; Regel· Adj./Präpos. als Bezugswort richtet sich in Num.+Gen. nach dem Prädikatsnomen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0"/>
    <w:rsid w:val="001C6B15"/>
    <w:rsid w:val="00314523"/>
    <w:rsid w:val="00557A88"/>
    <w:rsid w:val="00763112"/>
    <w:rsid w:val="00971120"/>
    <w:rsid w:val="00D16A6A"/>
    <w:rsid w:val="00F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532F"/>
  <w15:chartTrackingRefBased/>
  <w15:docId w15:val="{11507187-8377-48BC-BA26-F45ED14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41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441E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41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41E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441E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441E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44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2</cp:revision>
  <dcterms:created xsi:type="dcterms:W3CDTF">2022-08-12T15:13:00Z</dcterms:created>
  <dcterms:modified xsi:type="dcterms:W3CDTF">2022-08-12T15:22:00Z</dcterms:modified>
</cp:coreProperties>
</file>