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BFC2" w14:textId="4AF0FF38" w:rsidR="005F72D6" w:rsidRDefault="00972A9A" w:rsidP="00972A9A">
      <w:pPr>
        <w:jc w:val="center"/>
        <w:rPr>
          <w:sz w:val="40"/>
          <w:szCs w:val="40"/>
        </w:rPr>
      </w:pPr>
      <w:r w:rsidRPr="00972A9A">
        <w:rPr>
          <w:sz w:val="40"/>
          <w:szCs w:val="40"/>
        </w:rPr>
        <w:t>p1</w:t>
      </w:r>
      <w:r w:rsidR="007567AE">
        <w:rPr>
          <w:sz w:val="40"/>
          <w:szCs w:val="40"/>
        </w:rPr>
        <w:t>7</w:t>
      </w:r>
      <w:r w:rsidRPr="00972A9A">
        <w:rPr>
          <w:sz w:val="40"/>
          <w:szCs w:val="40"/>
        </w:rPr>
        <w:t xml:space="preserve"> Platon, epistula VII, </w:t>
      </w:r>
      <w:r w:rsidR="001841AA">
        <w:rPr>
          <w:sz w:val="40"/>
          <w:szCs w:val="40"/>
        </w:rPr>
        <w:t>330b</w:t>
      </w:r>
      <w:r w:rsidR="007567AE">
        <w:rPr>
          <w:sz w:val="40"/>
          <w:szCs w:val="40"/>
        </w:rPr>
        <w:t>-</w:t>
      </w:r>
      <w:r w:rsidR="0049115B">
        <w:rPr>
          <w:sz w:val="40"/>
          <w:szCs w:val="40"/>
        </w:rPr>
        <w:t>332b</w:t>
      </w:r>
    </w:p>
    <w:p w14:paraId="35C60B11" w14:textId="04720A64" w:rsidR="00BC7769" w:rsidRPr="00BC7769" w:rsidRDefault="00E7644F" w:rsidP="0049115B">
      <w:pPr>
        <w:rPr>
          <w:sz w:val="16"/>
          <w:szCs w:val="16"/>
        </w:rPr>
      </w:pPr>
      <w:r w:rsidRPr="00E7644F">
        <w:rPr>
          <w:sz w:val="16"/>
          <w:szCs w:val="16"/>
        </w:rPr>
        <w:t>http://www.perseus.tufts.edu/hopper/text?doc=Perseus%3Atext%3A1999.01.0163%3Aletter%3D7%3Asection%3D330b</w:t>
      </w:r>
      <w:r w:rsidR="00EB5DC5">
        <w:rPr>
          <w:sz w:val="16"/>
          <w:szCs w:val="16"/>
        </w:rPr>
        <w:br/>
      </w:r>
      <w:r w:rsidR="007567AE" w:rsidRPr="003D0B43">
        <w:rPr>
          <w:sz w:val="24"/>
          <w:szCs w:val="24"/>
        </w:rPr>
        <w:t>καὶ ὁ πρῶτος δὴ χρόνος τῆς εἰς Σικελίαν ἐμῆς ἐπιδημίας [330ξ] τε καὶ διατριβῆς διὰ πάντα ταῦτα συνέβη γενόμενος</w:t>
      </w:r>
      <w:r w:rsidR="009D7E01">
        <w:rPr>
          <w:rStyle w:val="Endnotenzeichen"/>
          <w:sz w:val="24"/>
          <w:szCs w:val="24"/>
        </w:rPr>
        <w:endnoteReference w:id="1"/>
      </w:r>
      <w:r w:rsidR="007567AE" w:rsidRPr="003D0B43">
        <w:rPr>
          <w:sz w:val="24"/>
          <w:szCs w:val="24"/>
        </w:rPr>
        <w:t>. μετὰ δὲ τοῦτο ἀπεδήμησά τε καὶ πάλιν ἀφικόμην πάσῃ σπουδῇ μεταπεμπομένου Διονυσίου</w:t>
      </w:r>
      <w:r w:rsidR="007414F6" w:rsidRPr="003D0B43">
        <w:rPr>
          <w:sz w:val="24"/>
          <w:szCs w:val="24"/>
        </w:rPr>
        <w:t>·</w:t>
      </w:r>
      <w:r w:rsidR="007567AE" w:rsidRPr="003D0B43">
        <w:rPr>
          <w:sz w:val="24"/>
          <w:szCs w:val="24"/>
        </w:rPr>
        <w:t xml:space="preserve"> ὧν δὲ ἕνεκα καὶ ὅσα ἔπραξα, ὡς εἰκότα τε καὶ δίκαια</w:t>
      </w:r>
      <w:r w:rsidR="00770880" w:rsidRPr="003D0B43">
        <w:rPr>
          <w:rStyle w:val="Endnotenzeichen"/>
          <w:sz w:val="24"/>
          <w:szCs w:val="24"/>
        </w:rPr>
        <w:endnoteReference w:id="2"/>
      </w:r>
      <w:r w:rsidR="007567AE" w:rsidRPr="003D0B43">
        <w:rPr>
          <w:sz w:val="24"/>
          <w:szCs w:val="24"/>
        </w:rPr>
        <w:t>, ὑμῖν πρῶτον μὲν συμβουλεύσας ἃ χρὴ ποιεῖν ἐκ τῶν νῦν γεγονότων, ὕστερον τὰ περὶ ταῦτα διέξειμι, τῶν ἐπανερωτώντων ἕνεκα τί δὴ βουλόμενος ἦλθον τὸ δεύτερον, ἵνα μὴ τὰ πάρεργα ὡς ἔργα μοι συμβαίνῃ λεγόμενα. λέγω δὴ τάδε ἐγώ</w:t>
      </w:r>
      <w:r w:rsidR="00770880" w:rsidRPr="003D0B43">
        <w:rPr>
          <w:sz w:val="24"/>
          <w:szCs w:val="24"/>
          <w:lang w:val="el-GR"/>
        </w:rPr>
        <w:t xml:space="preserve"> </w:t>
      </w:r>
      <w:r w:rsidR="007567AE" w:rsidRPr="003D0B43">
        <w:rPr>
          <w:sz w:val="24"/>
          <w:szCs w:val="24"/>
        </w:rPr>
        <w:t xml:space="preserve">— </w:t>
      </w:r>
      <w:r w:rsidR="00F244BA" w:rsidRPr="00F244BA">
        <w:rPr>
          <w:sz w:val="24"/>
          <w:szCs w:val="24"/>
        </w:rPr>
        <w:t xml:space="preserve">τὸν συμβουλεύοντα ἀνδρὶ κάμνοντι καὶ δίαιταν διαιτωμένῳ </w:t>
      </w:r>
      <w:r w:rsidR="007567AE" w:rsidRPr="003D0B43">
        <w:rPr>
          <w:sz w:val="24"/>
          <w:szCs w:val="24"/>
        </w:rPr>
        <w:t>[330δ] μοχθηρὰν πρὸς ὑγίειαν ἄλλο τι</w:t>
      </w:r>
      <w:r w:rsidR="001C0751">
        <w:rPr>
          <w:rStyle w:val="Endnotenzeichen"/>
          <w:sz w:val="24"/>
          <w:szCs w:val="24"/>
        </w:rPr>
        <w:endnoteReference w:id="3"/>
      </w:r>
      <w:r w:rsidR="007567AE" w:rsidRPr="003D0B43">
        <w:rPr>
          <w:sz w:val="24"/>
          <w:szCs w:val="24"/>
        </w:rPr>
        <w:t xml:space="preserve"> χρὴ πρῶτον μὲν μεταβάλλειν τὸν βίον, καὶ ἐθέλοντι μὲν πείθεσθαι καὶ τἆλλα ἤδη παραινεῖν</w:t>
      </w:r>
      <w:r w:rsidR="007414F6" w:rsidRPr="003D0B43">
        <w:rPr>
          <w:sz w:val="24"/>
          <w:szCs w:val="24"/>
        </w:rPr>
        <w:t>·</w:t>
      </w:r>
      <w:r w:rsidR="007567AE" w:rsidRPr="003D0B43">
        <w:rPr>
          <w:sz w:val="24"/>
          <w:szCs w:val="24"/>
        </w:rPr>
        <w:t xml:space="preserve"> μὴ ἐθέλοντι δέ, φεύγοντα ἀπὸ τῆς τοῦ τοιούτου συμβουλῆς ἄνδρα τε ἡγοίμην ἂν καὶ ἰατρικόν, τὸν δὲ ὑπομένοντα τοὐναντίον</w:t>
      </w:r>
      <w:r w:rsidR="00F11D98" w:rsidRPr="003D0B43">
        <w:rPr>
          <w:rStyle w:val="Endnotenzeichen"/>
          <w:sz w:val="24"/>
          <w:szCs w:val="24"/>
        </w:rPr>
        <w:endnoteReference w:id="4"/>
      </w:r>
      <w:r w:rsidR="007567AE" w:rsidRPr="003D0B43">
        <w:rPr>
          <w:sz w:val="24"/>
          <w:szCs w:val="24"/>
        </w:rPr>
        <w:t xml:space="preserve"> ἄνανδρόν τε καὶ ἄτεχνον. ταὐτὸν δὴ καὶ πόλει, εἴτε αὐτῆς εἷς εἴη κύριος εἴτε καὶ πλείους, εἰ μὲν κατὰ τρόπον ὀρθῇ πορευομένης ὁδῷ τῆς πολιτείας συμβουλεύοιτό [330ε] τι τῶν προσφόρων, νοῦν ἔχοντος</w:t>
      </w:r>
      <w:r w:rsidR="004D58A2" w:rsidRPr="00BD7C2B">
        <w:endnoteReference w:id="5"/>
      </w:r>
      <w:r w:rsidR="007567AE" w:rsidRPr="003D0B43">
        <w:rPr>
          <w:sz w:val="24"/>
          <w:szCs w:val="24"/>
        </w:rPr>
        <w:t xml:space="preserve"> τὸ τοῖς </w:t>
      </w:r>
      <w:r w:rsidR="007567AE" w:rsidRPr="00BD7C2B">
        <w:rPr>
          <w:sz w:val="24"/>
          <w:szCs w:val="24"/>
        </w:rPr>
        <w:t>τοιούτοις συμβουλεύειν</w:t>
      </w:r>
      <w:r w:rsidR="007414F6" w:rsidRPr="00BD7C2B">
        <w:rPr>
          <w:sz w:val="24"/>
          <w:szCs w:val="24"/>
        </w:rPr>
        <w:t>·</w:t>
      </w:r>
      <w:r w:rsidR="007567AE" w:rsidRPr="00BD7C2B">
        <w:rPr>
          <w:sz w:val="24"/>
          <w:szCs w:val="24"/>
        </w:rPr>
        <w:t xml:space="preserve"> τοῖς δ᾽ ἔξω τὸ παράπαν βαίνουσι τῆς ὀρθῆς πολιτείας καὶ μηδαμῇ ἐθέλουσιν αὐτῆς εἰς ἴχνος ἰέναι, προαγορεύουσιν</w:t>
      </w:r>
      <w:r w:rsidR="007567AE" w:rsidRPr="003D0B43">
        <w:rPr>
          <w:sz w:val="24"/>
          <w:szCs w:val="24"/>
        </w:rPr>
        <w:t xml:space="preserve"> δὲ τῷ συμβούλῳ τὴν μὲν πολιτείαν ἐᾶν καὶ μὴ [331α] κινεῖν, ὡς ἀποθανουμένῳ ἐὰν κινῇ, ταῖς δὲ</w:t>
      </w:r>
      <w:r w:rsidR="00EE18F3" w:rsidRPr="00BD7C2B">
        <w:endnoteReference w:id="6"/>
      </w:r>
      <w:r w:rsidR="007567AE" w:rsidRPr="003D0B43">
        <w:rPr>
          <w:sz w:val="24"/>
          <w:szCs w:val="24"/>
        </w:rPr>
        <w:t xml:space="preserve"> βουλήσεσιν καὶ ἐπιθυμίαις αὐτῶν ὑπηρετοῦντα</w:t>
      </w:r>
      <w:r w:rsidR="00CF3846">
        <w:rPr>
          <w:sz w:val="24"/>
          <w:szCs w:val="24"/>
        </w:rPr>
        <w:t>[</w:t>
      </w:r>
      <w:r w:rsidR="007567AE" w:rsidRPr="003D0B43">
        <w:rPr>
          <w:sz w:val="24"/>
          <w:szCs w:val="24"/>
        </w:rPr>
        <w:t>ς</w:t>
      </w:r>
      <w:r w:rsidR="00CF3846" w:rsidRPr="003D0B43">
        <w:rPr>
          <w:sz w:val="24"/>
          <w:szCs w:val="24"/>
        </w:rPr>
        <w:t>]</w:t>
      </w:r>
      <w:r w:rsidR="00CF3846">
        <w:rPr>
          <w:sz w:val="24"/>
          <w:szCs w:val="24"/>
        </w:rPr>
        <w:t xml:space="preserve"> </w:t>
      </w:r>
      <w:r w:rsidR="007567AE" w:rsidRPr="003D0B43">
        <w:rPr>
          <w:sz w:val="24"/>
          <w:szCs w:val="24"/>
        </w:rPr>
        <w:t xml:space="preserve">συμβουλεύειν κελεύοιεν, τίνα τρόπον γίγνοιτ᾽ ἂν ῥᾷστά τε καὶ τάχιστα εἰς τὸν ἀεὶ χρόνον, τὸν μὲν ὑπομένοντα συμβουλὰς τοιαύτας ἡγοίμην ἂν ἄνανδρον, τὸν δ᾽ οὐχ ὑπομένοντα ἄνδρα. </w:t>
      </w:r>
      <w:r w:rsidR="00BF5C58">
        <w:rPr>
          <w:sz w:val="24"/>
          <w:szCs w:val="24"/>
        </w:rPr>
        <w:br/>
      </w:r>
      <w:r w:rsidR="007567AE" w:rsidRPr="003D0B43">
        <w:rPr>
          <w:sz w:val="24"/>
          <w:szCs w:val="24"/>
        </w:rPr>
        <w:t>ταύτην δὴ τὴν διάνοιαν ἐγὼ κεκτημένος, ὅταν τίς μοι συμβουλεύηται περί τινος τῶν μεγίστων περὶ τὸν αὑτοῦ βίον, οἷον περὶ χρημάτων κτήσεως [331β] ἢ περὶ σώματος ἢ ψυχῆς ἐπιμελείας, ἂν μέν μοι τὸ καθ᾽ ἡμέραν ἔν τινι τρόπῳ δοκῇ ζῆν ἢ συμβουλεύσαντος ἂν ἐθέλειν πείθεσθαι περὶ ὧν ἀνακοινοῦται, προθύμως συμβουλεύω καὶ οὐκ ἀφοσιωσάμενος μόνον ἐπαυσάμην. ἐὰν δὲ μὴ συμβουλεύηταί μοι τὸ παράπαν ἢ συμβουλεύοντι δῆλος ᾖ μηδαμῇ πεισόμενος, ἐπὶ τὸν τοιοῦτον οὐκ ἔρχομαι συμβουλεύσων, βιασόμενος δὲ οὐδ᾽ ἂν ὑὸς ᾖ μου. δούλῳ δὲ συμβουλεύσαιμ᾽ ἂν καὶ μὴ ἐθέλοντά γε προσβιαζοίμην</w:t>
      </w:r>
      <w:r w:rsidR="007414F6" w:rsidRPr="003D0B43">
        <w:rPr>
          <w:sz w:val="24"/>
          <w:szCs w:val="24"/>
        </w:rPr>
        <w:t>·</w:t>
      </w:r>
      <w:r w:rsidR="007567AE" w:rsidRPr="003D0B43">
        <w:rPr>
          <w:sz w:val="24"/>
          <w:szCs w:val="24"/>
        </w:rPr>
        <w:t xml:space="preserve"> [331ξ] πατέρα δὲ ἢ μητέρα οὐχ ὅσιον ἡγοῦμαι προσβιάζεσθαι μὴ νόσῳ παραφροσύνης ἐχομένους, ἐὰν δέ τινα καθεστῶτα ζῶσι βίον, ἑαυτοῖς ἀρέσκοντα, ἐμοὶ δὲ μή, μήτε ἀπεχθάνεσθαι μάτην νουθετοῦντα μήτε δὴ κολακεύοντά γε ὑπηρετεῖν αὐτοῖς, πληρώσεις ἐπιθυμιῶν </w:t>
      </w:r>
      <w:r w:rsidR="007567AE" w:rsidRPr="00A73BA4">
        <w:rPr>
          <w:sz w:val="24"/>
          <w:szCs w:val="24"/>
        </w:rPr>
        <w:t xml:space="preserve">ἐκπορίζοντα </w:t>
      </w:r>
      <w:r w:rsidR="007567AE" w:rsidRPr="003D0B43">
        <w:rPr>
          <w:sz w:val="24"/>
          <w:szCs w:val="24"/>
        </w:rPr>
        <w:t>ἃς αὐτὸς ἀσπαζόμενος οὐκ ἂν ἐθέλοιμι ζῆν. ταὐτὸν δὴ καὶ περὶ πόλεως αὑτοῦ διανοούμενον χρὴ ζῆν τὸν ἔμφρονα</w:t>
      </w:r>
      <w:r w:rsidR="007414F6" w:rsidRPr="003D0B43">
        <w:rPr>
          <w:sz w:val="24"/>
          <w:szCs w:val="24"/>
        </w:rPr>
        <w:t>·</w:t>
      </w:r>
      <w:r w:rsidR="007567AE" w:rsidRPr="003D0B43">
        <w:rPr>
          <w:sz w:val="24"/>
          <w:szCs w:val="24"/>
        </w:rPr>
        <w:t xml:space="preserve"> λέγειν μέν, εἰ μὴ [331δ] καλῶς αὐτῷ φαίνοιτο πολιτεύεσθαι, εἰ μέλλοι μήτε ματαίως ἐρεῖν μήτε ἀποθανεῖσθαι λέγων, βίαν δὲ πατρίδι πολιτείας μεταβολῆς μὴ προσφέρειν, ὅταν ἄνευ φυγῆς καὶ σφαγῆς ἀνδρῶν μὴ δυνατὸν ᾖ γίγνεσθαι τὴν ἀρίστην, ἡσυχίαν δὲ ἄγοντα εὔχεσθαι τὰ ἀγαθὰ αὑτῷ τε καὶ τῇ πόλει.</w:t>
      </w:r>
      <w:r w:rsidR="00BF5C58">
        <w:rPr>
          <w:sz w:val="24"/>
          <w:szCs w:val="24"/>
        </w:rPr>
        <w:br/>
      </w:r>
      <w:r w:rsidR="007567AE" w:rsidRPr="003D0B43">
        <w:rPr>
          <w:sz w:val="24"/>
          <w:szCs w:val="24"/>
        </w:rPr>
        <w:t xml:space="preserve">κατὰ δὴ τοῦτον τὸν τρόπον ἐγὼ ὑμῖν τ᾽ ἂν συμβουλεύοιμι, συνεβούλευον δὲ καὶ Διονυσίῳ μετὰ Δίωνος, ζῆν μὲν τὸ καθ᾽ ἡμέραν πρῶτον, ὅπως </w:t>
      </w:r>
      <w:r w:rsidR="007567AE" w:rsidRPr="00AB3935">
        <w:rPr>
          <w:sz w:val="24"/>
          <w:szCs w:val="24"/>
        </w:rPr>
        <w:t xml:space="preserve">ἐγκρατὴς </w:t>
      </w:r>
      <w:r w:rsidR="007567AE" w:rsidRPr="003D0B43">
        <w:rPr>
          <w:sz w:val="24"/>
          <w:szCs w:val="24"/>
        </w:rPr>
        <w:t>αὐτὸς αὑτοῦ ὅτι μάλιστα [331ε] ἔσεσθαι μέλλοι καὶ πιστοὺς φίλους τε καὶ ἑταίρους κτήσεσθαι, ὅπως μὴ πάθοι ἅπερ ὁ πατὴρ αὐτοῦ, ὃς παραλαβὼν Σικελίας πολλὰς καὶ μεγάλας πόλεις ὑπὸ τῶν βαρβάρων ἐκπεπορθημένας, οὐχ οἷός τ᾽ ἦν κατοικίσας πολιτείας</w:t>
      </w:r>
      <w:r w:rsidR="0023744C">
        <w:rPr>
          <w:rStyle w:val="Endnotenzeichen"/>
          <w:sz w:val="24"/>
          <w:szCs w:val="24"/>
        </w:rPr>
        <w:endnoteReference w:id="7"/>
      </w:r>
      <w:r w:rsidR="007567AE" w:rsidRPr="003D0B43">
        <w:rPr>
          <w:sz w:val="24"/>
          <w:szCs w:val="24"/>
        </w:rPr>
        <w:t xml:space="preserve"> ἐν ἑκάσταις καταστήσασθαι πιστὰς ἑταίρων ἀνδρῶν, οὔτε ἄλλων δή [332α] ποθεν ὀθνείων οὔτε ἀδελφῶν, οὓς ἔθρεψέν τε αὐτὸς νεωτέρους ὄντας, ἔκ τε ἰδιωτῶν ἄρχοντας καὶ ἐκ πενήτων πλουσίους ἐπεποιήκει </w:t>
      </w:r>
      <w:r w:rsidR="007567AE" w:rsidRPr="00A027D3">
        <w:rPr>
          <w:sz w:val="24"/>
          <w:szCs w:val="24"/>
        </w:rPr>
        <w:t>διαφερόντως</w:t>
      </w:r>
      <w:r w:rsidR="007567AE" w:rsidRPr="003D0B43">
        <w:rPr>
          <w:sz w:val="24"/>
          <w:szCs w:val="24"/>
        </w:rPr>
        <w:t>. τούτων κοινωνὸν τῆς ἀρχῆς οὐδένα οἷός τ᾽ ἦν πειθοῖ καὶ διδαχῇ καὶ εὐεργεσίαις καὶ συγγενείαις ἀπεργασάμενος ποιήσασθαι, Δαρείου</w:t>
      </w:r>
      <w:r w:rsidR="00D60E31">
        <w:rPr>
          <w:rStyle w:val="Endnotenzeichen"/>
          <w:sz w:val="24"/>
          <w:szCs w:val="24"/>
        </w:rPr>
        <w:endnoteReference w:id="8"/>
      </w:r>
      <w:r w:rsidR="007567AE" w:rsidRPr="003D0B43">
        <w:rPr>
          <w:sz w:val="24"/>
          <w:szCs w:val="24"/>
        </w:rPr>
        <w:t xml:space="preserve"> δὲ ἑπταπλασίῳ φαυλότερος ἐγένετο, ὃς οὐκ ἀδελφοῖς πιστεύσας οὐδ᾽ ὑφ᾽ αὑτοῦ τραφεῖσιν, κοινωνοῖς δὲ μόνον τῆς τοῦ Μήδου τε [332β] καὶ εὐνούχου χειρώσεως, διένειμέ τε μέρη μείζω ἕκαστα Σικελίας πάσης ἑπτά, καὶ πιστοῖς ἐχρήσατο τοῖς κοινωνοῖς καὶ οὐκ ἐπιτιθεμένοις οὔτε αὐτῷ οὔτε ἀλλήλοις, ἔδειξέν τε παράδειγμα οἷον χρὴ τὸν νομοθέτην καὶ βασιλέα τὸν ἀγαθὸν γίγνεσθαι</w:t>
      </w:r>
      <w:r w:rsidR="007414F6" w:rsidRPr="003D0B43">
        <w:rPr>
          <w:sz w:val="24"/>
          <w:szCs w:val="24"/>
        </w:rPr>
        <w:t>·</w:t>
      </w:r>
      <w:r w:rsidR="007567AE" w:rsidRPr="003D0B43">
        <w:rPr>
          <w:sz w:val="24"/>
          <w:szCs w:val="24"/>
        </w:rPr>
        <w:t xml:space="preserve"> νόμους γὰρ κατασκευάσας ἔτι καὶ νῦν διασέσωκεν τὴν Περσῶν ἀρχήν.</w:t>
      </w:r>
    </w:p>
    <w:sectPr w:rsidR="00BC7769" w:rsidRPr="00BC7769" w:rsidSect="00BF5C58">
      <w:endnotePr>
        <w:numFmt w:val="decimal"/>
      </w:endnotePr>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2237" w14:textId="77777777" w:rsidR="00A5331D" w:rsidRDefault="00A5331D" w:rsidP="00770880">
      <w:pPr>
        <w:spacing w:after="0" w:line="240" w:lineRule="auto"/>
      </w:pPr>
      <w:r>
        <w:separator/>
      </w:r>
    </w:p>
  </w:endnote>
  <w:endnote w:type="continuationSeparator" w:id="0">
    <w:p w14:paraId="517A34E5" w14:textId="77777777" w:rsidR="00A5331D" w:rsidRDefault="00A5331D" w:rsidP="00770880">
      <w:pPr>
        <w:spacing w:after="0" w:line="240" w:lineRule="auto"/>
      </w:pPr>
      <w:r>
        <w:continuationSeparator/>
      </w:r>
    </w:p>
  </w:endnote>
  <w:endnote w:id="1">
    <w:p w14:paraId="3F626B6B" w14:textId="09FA4ACA" w:rsidR="009D7E01" w:rsidRPr="009D7E01" w:rsidRDefault="009D7E01">
      <w:pPr>
        <w:pStyle w:val="Endnotentext"/>
        <w:rPr>
          <w:lang w:val="el-GR"/>
        </w:rPr>
      </w:pPr>
      <w:r>
        <w:rPr>
          <w:rStyle w:val="Endnotenzeichen"/>
        </w:rPr>
        <w:endnoteRef/>
      </w:r>
      <w:r>
        <w:t xml:space="preserve"> </w:t>
      </w:r>
      <w:r w:rsidRPr="009D7E01">
        <w:t>συνέβη γενόμενος</w:t>
      </w:r>
      <w:r>
        <w:t xml:space="preserve"> phraseologisch für </w:t>
      </w:r>
      <w:r>
        <w:rPr>
          <w:lang w:val="el-GR"/>
        </w:rPr>
        <w:t>ἐγένετο</w:t>
      </w:r>
    </w:p>
  </w:endnote>
  <w:endnote w:id="2">
    <w:p w14:paraId="7BA9B52D" w14:textId="60D1A52A" w:rsidR="00770880" w:rsidRPr="00770880" w:rsidRDefault="00770880">
      <w:pPr>
        <w:pStyle w:val="Endnotentext"/>
        <w:rPr>
          <w:lang w:val="el-GR"/>
        </w:rPr>
      </w:pPr>
      <w:r>
        <w:rPr>
          <w:rStyle w:val="Endnotenzeichen"/>
        </w:rPr>
        <w:endnoteRef/>
      </w:r>
      <w:r>
        <w:t xml:space="preserve"> </w:t>
      </w:r>
      <w:r w:rsidRPr="007567AE">
        <w:t>εἰκότα τε καὶ δίκαια</w:t>
      </w:r>
      <w:r>
        <w:t xml:space="preserve">: </w:t>
      </w:r>
      <w:r w:rsidR="004D58A2">
        <w:t xml:space="preserve">elliptisch, </w:t>
      </w:r>
      <w:r>
        <w:t xml:space="preserve">erg. </w:t>
      </w:r>
      <w:r>
        <w:rPr>
          <w:lang w:val="el-GR"/>
        </w:rPr>
        <w:t>ἐστιν</w:t>
      </w:r>
    </w:p>
  </w:endnote>
  <w:endnote w:id="3">
    <w:p w14:paraId="6AC0284D" w14:textId="0F4335D3" w:rsidR="001C0751" w:rsidRPr="007B17B0" w:rsidRDefault="001C0751">
      <w:pPr>
        <w:pStyle w:val="Endnotentext"/>
      </w:pPr>
      <w:r>
        <w:rPr>
          <w:rStyle w:val="Endnotenzeichen"/>
        </w:rPr>
        <w:endnoteRef/>
      </w:r>
      <w:r>
        <w:t xml:space="preserve"> </w:t>
      </w:r>
      <w:r>
        <w:rPr>
          <w:lang w:val="el-GR"/>
        </w:rPr>
        <w:t xml:space="preserve">ἄλλο τι </w:t>
      </w:r>
      <w:r w:rsidR="007B17B0">
        <w:rPr>
          <w:lang w:val="el-GR"/>
        </w:rPr>
        <w:t xml:space="preserve">χρή </w:t>
      </w:r>
      <w:r>
        <w:t xml:space="preserve">erg. </w:t>
      </w:r>
      <w:r>
        <w:rPr>
          <w:lang w:val="el-GR"/>
        </w:rPr>
        <w:t xml:space="preserve">ποιεῖν ἤ </w:t>
      </w:r>
      <w:r>
        <w:t>(phraseologisch</w:t>
      </w:r>
      <w:r w:rsidR="007B17B0">
        <w:t xml:space="preserve"> fragend</w:t>
      </w:r>
      <w:r>
        <w:t>)</w:t>
      </w:r>
      <w:r w:rsidR="007B17B0">
        <w:t>: muss &lt;er&gt; anderes tun als ...?/ &lt;er&gt; muss doch wohl ...</w:t>
      </w:r>
    </w:p>
  </w:endnote>
  <w:endnote w:id="4">
    <w:p w14:paraId="33433E9C" w14:textId="5FFDAA84" w:rsidR="00F11D98" w:rsidRPr="00F11D98" w:rsidRDefault="00F11D98" w:rsidP="00BF5C58">
      <w:pPr>
        <w:pStyle w:val="Endnotentext"/>
        <w:tabs>
          <w:tab w:val="left" w:pos="4536"/>
        </w:tabs>
      </w:pPr>
      <w:r>
        <w:rPr>
          <w:rStyle w:val="Endnotenzeichen"/>
        </w:rPr>
        <w:endnoteRef/>
      </w:r>
      <w:r>
        <w:t xml:space="preserve"> </w:t>
      </w:r>
      <w:r w:rsidRPr="007567AE">
        <w:t>τοὐναντίον</w:t>
      </w:r>
      <w:r>
        <w:rPr>
          <w:lang w:val="el-GR"/>
        </w:rPr>
        <w:t xml:space="preserve"> </w:t>
      </w:r>
      <w:r>
        <w:t>adv.Akk.</w:t>
      </w:r>
      <w:r w:rsidR="00BF5C58">
        <w:tab/>
      </w:r>
    </w:p>
  </w:endnote>
  <w:endnote w:id="5">
    <w:p w14:paraId="3A2E5105" w14:textId="36D174B6" w:rsidR="004D58A2" w:rsidRDefault="004D58A2">
      <w:pPr>
        <w:pStyle w:val="Endnotentext"/>
      </w:pPr>
      <w:r>
        <w:rPr>
          <w:rStyle w:val="Endnotenzeichen"/>
        </w:rPr>
        <w:endnoteRef/>
      </w:r>
      <w:r>
        <w:t xml:space="preserve"> </w:t>
      </w:r>
      <w:r w:rsidRPr="007567AE">
        <w:t>νοῦν ἔχοντος</w:t>
      </w:r>
      <w:r>
        <w:t xml:space="preserve"> elliptisch</w:t>
      </w:r>
    </w:p>
  </w:endnote>
  <w:endnote w:id="6">
    <w:p w14:paraId="03040468" w14:textId="4E650EA9" w:rsidR="00EE18F3" w:rsidRPr="00EE18F3" w:rsidRDefault="00EE18F3" w:rsidP="00EE18F3">
      <w:pPr>
        <w:pStyle w:val="Endnotentext"/>
        <w:rPr>
          <w:lang w:val="el-GR"/>
        </w:rPr>
      </w:pPr>
      <w:r>
        <w:rPr>
          <w:rStyle w:val="Endnotenzeichen"/>
        </w:rPr>
        <w:endnoteRef/>
      </w:r>
      <w:r>
        <w:t xml:space="preserve"> Dieses </w:t>
      </w:r>
      <w:r w:rsidRPr="00CF3846">
        <w:t xml:space="preserve">δέ ... </w:t>
      </w:r>
      <w:r w:rsidR="00CF3846" w:rsidRPr="00CF3846">
        <w:t>κελεύοιεν</w:t>
      </w:r>
      <w:r w:rsidR="00CF3846">
        <w:t xml:space="preserve"> </w:t>
      </w:r>
      <w:r>
        <w:t>korreliert</w:t>
      </w:r>
      <w:r w:rsidR="00CF3846">
        <w:rPr>
          <w:lang w:val="el-GR"/>
        </w:rPr>
        <w:t xml:space="preserve"> </w:t>
      </w:r>
      <w:r>
        <w:t xml:space="preserve">mit dem obigen </w:t>
      </w:r>
      <w:r>
        <w:rPr>
          <w:lang w:val="el-GR"/>
        </w:rPr>
        <w:t xml:space="preserve">εἰ </w:t>
      </w:r>
      <w:r w:rsidRPr="00EE18F3">
        <w:t>μὲν ... συμβουλεύοιτό</w:t>
      </w:r>
      <w:r>
        <w:rPr>
          <w:lang w:val="el-GR"/>
        </w:rPr>
        <w:t xml:space="preserve"> </w:t>
      </w:r>
    </w:p>
  </w:endnote>
  <w:endnote w:id="7">
    <w:p w14:paraId="64714056" w14:textId="6DA89E8E" w:rsidR="0023744C" w:rsidRPr="00AB3935" w:rsidRDefault="0023744C">
      <w:pPr>
        <w:pStyle w:val="Endnotentext"/>
        <w:rPr>
          <w:lang w:val="el-GR"/>
        </w:rPr>
      </w:pPr>
      <w:r>
        <w:rPr>
          <w:rStyle w:val="Endnotenzeichen"/>
        </w:rPr>
        <w:endnoteRef/>
      </w:r>
      <w:r>
        <w:t xml:space="preserve"> </w:t>
      </w:r>
      <w:r>
        <w:rPr>
          <w:lang w:val="el-GR"/>
        </w:rPr>
        <w:t xml:space="preserve">πολιτεία </w:t>
      </w:r>
      <w:r>
        <w:t>hier: Staatsverwaltung, Regierung</w:t>
      </w:r>
    </w:p>
  </w:endnote>
  <w:endnote w:id="8">
    <w:p w14:paraId="05FBBA4B" w14:textId="71F3FE45" w:rsidR="00D60E31" w:rsidRPr="00D60E31" w:rsidRDefault="00D60E31">
      <w:pPr>
        <w:pStyle w:val="Endnotentext"/>
      </w:pPr>
      <w:r>
        <w:rPr>
          <w:rStyle w:val="Endnotenzeichen"/>
        </w:rPr>
        <w:endnoteRef/>
      </w:r>
      <w:r>
        <w:t xml:space="preserve"> </w:t>
      </w:r>
      <w:r w:rsidR="00EB5DC5">
        <w:rPr>
          <w:lang w:val="el-GR"/>
        </w:rPr>
        <w:t>Μῆδος</w:t>
      </w:r>
      <w:r>
        <w:rPr>
          <w:lang w:val="el-GR"/>
        </w:rPr>
        <w:t xml:space="preserve">· </w:t>
      </w:r>
      <w:r w:rsidR="00EB5DC5">
        <w:t>Zum Sieg des Dareios über Gaumata</w:t>
      </w:r>
      <w:r>
        <w:t xml:space="preserve"> </w:t>
      </w:r>
      <w:r w:rsidR="00EB5DC5">
        <w:t xml:space="preserve">und </w:t>
      </w:r>
      <w:r>
        <w:t xml:space="preserve">Aufteilung des Reiches unter sechs Gefährten s. Wikipedia </w:t>
      </w:r>
      <w:hyperlink r:id="rId1" w:anchor="Die_%E2%80%9ESieben_Perser%E2%80%9C" w:history="1">
        <w:r w:rsidRPr="00D60E31">
          <w:rPr>
            <w:rStyle w:val="Hyperlink"/>
          </w:rPr>
          <w:t>Da</w:t>
        </w:r>
        <w:r w:rsidRPr="00D60E31">
          <w:rPr>
            <w:rStyle w:val="Hyperlink"/>
          </w:rPr>
          <w:t>r</w:t>
        </w:r>
        <w:r w:rsidRPr="00D60E31">
          <w:rPr>
            <w:rStyle w:val="Hyperlink"/>
          </w:rPr>
          <w:t>eios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A8F8" w14:textId="77777777" w:rsidR="00A5331D" w:rsidRDefault="00A5331D" w:rsidP="00770880">
      <w:pPr>
        <w:spacing w:after="0" w:line="240" w:lineRule="auto"/>
      </w:pPr>
      <w:r>
        <w:separator/>
      </w:r>
    </w:p>
  </w:footnote>
  <w:footnote w:type="continuationSeparator" w:id="0">
    <w:p w14:paraId="18EB52A5" w14:textId="77777777" w:rsidR="00A5331D" w:rsidRDefault="00A5331D" w:rsidP="00770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B1"/>
    <w:rsid w:val="000A72B1"/>
    <w:rsid w:val="001841AA"/>
    <w:rsid w:val="001C0751"/>
    <w:rsid w:val="001C6B15"/>
    <w:rsid w:val="001F06C3"/>
    <w:rsid w:val="0023744C"/>
    <w:rsid w:val="002400AA"/>
    <w:rsid w:val="003D0B43"/>
    <w:rsid w:val="003D17C9"/>
    <w:rsid w:val="0049115B"/>
    <w:rsid w:val="004D58A2"/>
    <w:rsid w:val="004E6E14"/>
    <w:rsid w:val="00520F0D"/>
    <w:rsid w:val="00564C73"/>
    <w:rsid w:val="00577BDA"/>
    <w:rsid w:val="006961C8"/>
    <w:rsid w:val="006B458F"/>
    <w:rsid w:val="007414F6"/>
    <w:rsid w:val="00746DA9"/>
    <w:rsid w:val="007567AE"/>
    <w:rsid w:val="00763112"/>
    <w:rsid w:val="00770880"/>
    <w:rsid w:val="007B17B0"/>
    <w:rsid w:val="007B1DEF"/>
    <w:rsid w:val="007B5705"/>
    <w:rsid w:val="00820D18"/>
    <w:rsid w:val="00851423"/>
    <w:rsid w:val="00972A9A"/>
    <w:rsid w:val="009C5BCA"/>
    <w:rsid w:val="009D7E01"/>
    <w:rsid w:val="009F7492"/>
    <w:rsid w:val="00A027D3"/>
    <w:rsid w:val="00A10FDD"/>
    <w:rsid w:val="00A5331D"/>
    <w:rsid w:val="00A54A24"/>
    <w:rsid w:val="00A62ED1"/>
    <w:rsid w:val="00A73BA4"/>
    <w:rsid w:val="00AB3935"/>
    <w:rsid w:val="00B30D22"/>
    <w:rsid w:val="00B44F47"/>
    <w:rsid w:val="00BC2FE0"/>
    <w:rsid w:val="00BC7769"/>
    <w:rsid w:val="00BD7C2B"/>
    <w:rsid w:val="00BE6C29"/>
    <w:rsid w:val="00BE77B5"/>
    <w:rsid w:val="00BF5C58"/>
    <w:rsid w:val="00CB006D"/>
    <w:rsid w:val="00CE105E"/>
    <w:rsid w:val="00CF3846"/>
    <w:rsid w:val="00D228C1"/>
    <w:rsid w:val="00D60E31"/>
    <w:rsid w:val="00DF0BBD"/>
    <w:rsid w:val="00E7644F"/>
    <w:rsid w:val="00E84705"/>
    <w:rsid w:val="00EA721F"/>
    <w:rsid w:val="00EB5DC5"/>
    <w:rsid w:val="00EE17D2"/>
    <w:rsid w:val="00EE18F3"/>
    <w:rsid w:val="00F11D98"/>
    <w:rsid w:val="00F244BA"/>
    <w:rsid w:val="00FE1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2C6B"/>
  <w15:chartTrackingRefBased/>
  <w15:docId w15:val="{B1741028-DF56-4865-96AA-5049754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708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70880"/>
    <w:rPr>
      <w:sz w:val="20"/>
      <w:szCs w:val="20"/>
    </w:rPr>
  </w:style>
  <w:style w:type="character" w:styleId="Funotenzeichen">
    <w:name w:val="footnote reference"/>
    <w:basedOn w:val="Absatz-Standardschriftart"/>
    <w:uiPriority w:val="99"/>
    <w:semiHidden/>
    <w:unhideWhenUsed/>
    <w:rsid w:val="00770880"/>
    <w:rPr>
      <w:vertAlign w:val="superscript"/>
    </w:rPr>
  </w:style>
  <w:style w:type="paragraph" w:styleId="Endnotentext">
    <w:name w:val="endnote text"/>
    <w:basedOn w:val="Standard"/>
    <w:link w:val="EndnotentextZchn"/>
    <w:uiPriority w:val="99"/>
    <w:semiHidden/>
    <w:unhideWhenUsed/>
    <w:rsid w:val="0077088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70880"/>
    <w:rPr>
      <w:sz w:val="20"/>
      <w:szCs w:val="20"/>
    </w:rPr>
  </w:style>
  <w:style w:type="character" w:styleId="Endnotenzeichen">
    <w:name w:val="endnote reference"/>
    <w:basedOn w:val="Absatz-Standardschriftart"/>
    <w:uiPriority w:val="99"/>
    <w:semiHidden/>
    <w:unhideWhenUsed/>
    <w:rsid w:val="00770880"/>
    <w:rPr>
      <w:vertAlign w:val="superscript"/>
    </w:rPr>
  </w:style>
  <w:style w:type="character" w:styleId="Hyperlink">
    <w:name w:val="Hyperlink"/>
    <w:basedOn w:val="Absatz-Standardschriftart"/>
    <w:uiPriority w:val="99"/>
    <w:unhideWhenUsed/>
    <w:rsid w:val="00D60E31"/>
    <w:rPr>
      <w:color w:val="0563C1" w:themeColor="hyperlink"/>
      <w:u w:val="single"/>
    </w:rPr>
  </w:style>
  <w:style w:type="character" w:styleId="NichtaufgelsteErwhnung">
    <w:name w:val="Unresolved Mention"/>
    <w:basedOn w:val="Absatz-Standardschriftart"/>
    <w:uiPriority w:val="99"/>
    <w:semiHidden/>
    <w:unhideWhenUsed/>
    <w:rsid w:val="00D60E31"/>
    <w:rPr>
      <w:color w:val="605E5C"/>
      <w:shd w:val="clear" w:color="auto" w:fill="E1DFDD"/>
    </w:rPr>
  </w:style>
  <w:style w:type="character" w:styleId="BesuchterLink">
    <w:name w:val="FollowedHyperlink"/>
    <w:basedOn w:val="Absatz-Standardschriftart"/>
    <w:uiPriority w:val="99"/>
    <w:semiHidden/>
    <w:unhideWhenUsed/>
    <w:rsid w:val="00EB5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de.wikipedia.org/wiki/Dareios_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1E33-CA09-48E7-8A5A-5CF0AF0E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21</cp:revision>
  <dcterms:created xsi:type="dcterms:W3CDTF">2021-09-15T16:34:00Z</dcterms:created>
  <dcterms:modified xsi:type="dcterms:W3CDTF">2021-11-15T17:33:00Z</dcterms:modified>
</cp:coreProperties>
</file>